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Critical Positionality Statement </w:t>
      </w:r>
    </w:p>
    <w:p w:rsidR="00000000" w:rsidDel="00000000" w:rsidP="00000000" w:rsidRDefault="00000000" w:rsidRPr="00000000" w14:paraId="00000002">
      <w:pPr>
        <w:rPr/>
      </w:pPr>
      <w:r w:rsidDel="00000000" w:rsidR="00000000" w:rsidRPr="00000000">
        <w:rPr>
          <w:rtl w:val="0"/>
        </w:rPr>
        <w:t xml:space="preserve">(Pulling from Artifacts 2,5 &amp; 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position myself as an active agent of disruption within academic spaces. My identities –  Blackness, queerness, neuro-expansiveness, namely – aren't aspects to be managed or assimilated, but are instead, themselves, are crucial tools for challenging and transforming institutional stagnancy. I feel that academia often rewards those who learn to navigate its systems without fundamentally challenging them and want to align my positionality with traditions of radical resistance, rather than tokenism.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hope to use my understanding of culturally sustaining pedagogy to inform a teaching practice that actively resists cultural hegemony. This means creating learning environments that center communal knowledge production, that value flexibility over rigid time structures and that prioritize the unique insights gained from marginalization. I’m deeply inspired by a Black educational tradition that holds space for difference rather than divergence.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am particularly sensitive to using my positionalities to resist performative DEI work. Equity work that refuses to center the most invisible or oppressed (e.g. negotiating with antiBlackness), is no more than a co-option of radical tradition into a tool of system maintenance. I seek to create spaces of genuine cultural continuity and resistance, recognizing that meaningful change is that which most often invites discomfort. </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