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DEI Informed Dialogues Microcredential Portfolio</w:t>
      </w:r>
    </w:p>
    <w:p w:rsidR="00000000" w:rsidDel="00000000" w:rsidP="00000000" w:rsidRDefault="00000000" w:rsidRPr="00000000" w14:paraId="00000002">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Christy Go</w:t>
      </w:r>
    </w:p>
    <w:p w:rsidR="00000000" w:rsidDel="00000000" w:rsidP="00000000" w:rsidRDefault="00000000" w:rsidRPr="00000000" w14:paraId="00000004">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PhD student in Music Education</w:t>
      </w:r>
    </w:p>
    <w:p w:rsidR="00000000" w:rsidDel="00000000" w:rsidP="00000000" w:rsidRDefault="00000000" w:rsidRPr="00000000" w14:paraId="00000005">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University of Colorado Boulder</w:t>
      </w:r>
    </w:p>
    <w:p w:rsidR="00000000" w:rsidDel="00000000" w:rsidP="00000000" w:rsidRDefault="00000000" w:rsidRPr="00000000" w14:paraId="00000006">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pStyle w:val="Heading1"/>
        <w:rPr>
          <w:rFonts w:ascii="Calibri" w:cs="Calibri" w:eastAsia="Calibri" w:hAnsi="Calibri"/>
          <w:b w:val="1"/>
          <w:i w:val="1"/>
          <w:sz w:val="30"/>
          <w:szCs w:val="30"/>
        </w:rPr>
      </w:pPr>
      <w:bookmarkStart w:colFirst="0" w:colLast="0" w:name="_m7xmolp5hc50" w:id="0"/>
      <w:bookmarkEnd w:id="0"/>
      <w:r w:rsidDel="00000000" w:rsidR="00000000" w:rsidRPr="00000000">
        <w:rPr>
          <w:rFonts w:ascii="Calibri" w:cs="Calibri" w:eastAsia="Calibri" w:hAnsi="Calibri"/>
          <w:b w:val="1"/>
          <w:i w:val="1"/>
          <w:sz w:val="30"/>
          <w:szCs w:val="30"/>
          <w:rtl w:val="0"/>
        </w:rPr>
        <w:t xml:space="preserve">DEI Informed Dialogue Teaching Statement: </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In my classes I strive to facilitate dialogue that keeps Diversity, Equity and Inclusion in the forefront.. In preparing aspiring music educators to implement culturally sustaining pedagogy and break down systemic and historically marginalizing structures in music, dialogue allows for empathetic interaction with the goal of equity, justice and centering historically marginalized voices. I aim to plan with intentionality to allow students to engage in thoughtful reflection through questioning, that will ultimately impact their personal teaching philosophies and identities in how they navigate teaching in their own classrooms. </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