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B" w:rsidRPr="00D750D6" w:rsidRDefault="00D750D6">
      <w:pPr>
        <w:rPr>
          <w:noProof/>
        </w:rPr>
      </w:pPr>
      <w:proofErr w:type="gramStart"/>
      <w:r w:rsidRPr="006B04D0">
        <w:rPr>
          <w:rFonts w:ascii="Times New Roman" w:hAnsi="Times New Roman" w:cs="Times New Roman"/>
          <w:color w:val="000000"/>
          <w:sz w:val="24"/>
          <w:szCs w:val="24"/>
        </w:rPr>
        <w:t>Figure 1.</w:t>
      </w:r>
      <w:proofErr w:type="gramEnd"/>
      <w:r w:rsidRPr="006B04D0">
        <w:rPr>
          <w:rFonts w:ascii="Times New Roman" w:hAnsi="Times New Roman" w:cs="Times New Roman"/>
          <w:color w:val="000000"/>
          <w:sz w:val="24"/>
          <w:szCs w:val="24"/>
        </w:rPr>
        <w:t xml:space="preserve"> Sample survey question</w:t>
      </w:r>
      <w:r>
        <w:rPr>
          <w:noProof/>
        </w:rPr>
        <w:drawing>
          <wp:inline distT="0" distB="0" distL="0" distR="0" wp14:anchorId="78CAD921" wp14:editId="18F8C146">
            <wp:extent cx="5719605" cy="5182506"/>
            <wp:effectExtent l="0" t="0" r="0" b="0"/>
            <wp:docPr id="1" name="Picture 1" descr="https://lh4.googleusercontent.com/UVmWI1VKvSVVM74Pi3ZaG4XiJHCEZEODZ5QNcpnPae5SDTYo65CGlarH-urH-zd1ehiXWHBnH6b1qA1KpkIw9YYK111zRiDqNU3bvPC6u1tqnXWpa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VmWI1VKvSVVM74Pi3ZaG4XiJHCEZEODZ5QNcpnPae5SDTYo65CGlarH-urH-zd1ehiXWHBnH6b1qA1KpkIw9YYK111zRiDqNU3bvPC6u1tqnXWpaK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31" cy="51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D6" w:rsidRDefault="00D750D6">
      <w:pPr>
        <w:rPr>
          <w:rFonts w:ascii="Calibri" w:hAnsi="Calibri"/>
          <w:color w:val="000000"/>
          <w:sz w:val="23"/>
          <w:szCs w:val="23"/>
        </w:rPr>
      </w:pPr>
      <w:proofErr w:type="gramStart"/>
      <w:r w:rsidRPr="006B04D0">
        <w:rPr>
          <w:rFonts w:ascii="Times New Roman" w:hAnsi="Times New Roman" w:cs="Times New Roman"/>
          <w:color w:val="000000"/>
          <w:sz w:val="24"/>
          <w:szCs w:val="24"/>
        </w:rPr>
        <w:t>Figure 2.</w:t>
      </w:r>
      <w:proofErr w:type="gramEnd"/>
      <w:r w:rsidRPr="006B04D0">
        <w:rPr>
          <w:rFonts w:ascii="Times New Roman" w:hAnsi="Times New Roman" w:cs="Times New Roman"/>
          <w:color w:val="000000"/>
          <w:sz w:val="24"/>
          <w:szCs w:val="24"/>
        </w:rPr>
        <w:t xml:space="preserve"> Approach</w:t>
      </w:r>
      <w:r w:rsidR="002817A3">
        <w:rPr>
          <w:rFonts w:ascii="Times New Roman" w:hAnsi="Times New Roman" w:cs="Times New Roman"/>
          <w:color w:val="000000"/>
          <w:sz w:val="24"/>
          <w:szCs w:val="24"/>
        </w:rPr>
        <w:t xml:space="preserve"> to training needs assessment</w:t>
      </w:r>
      <w:r>
        <w:rPr>
          <w:noProof/>
        </w:rPr>
        <w:drawing>
          <wp:inline distT="0" distB="0" distL="0" distR="0">
            <wp:extent cx="5721178" cy="2165443"/>
            <wp:effectExtent l="0" t="0" r="0" b="6350"/>
            <wp:docPr id="5" name="Picture 5" descr="https://lh5.googleusercontent.com/vdXSTk-mZU1hXrWuDqPeZWXayz7FkbDGAaLYWIwi27N3kbBBhfNQv3co-rD1_CiODkwVSosg9DtDZyg77SvFEQqNw02GxRBBRPNWvKFBAtr0p9a0m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544110890768631" descr="https://lh5.googleusercontent.com/vdXSTk-mZU1hXrWuDqPeZWXayz7FkbDGAaLYWIwi27N3kbBBhfNQv3co-rD1_CiODkwVSosg9DtDZyg77SvFEQqNw02GxRBBRPNWvKFBAtr0p9a0m6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56" cy="21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D6" w:rsidRPr="006B04D0" w:rsidRDefault="00D750D6" w:rsidP="00D750D6">
      <w:pPr>
        <w:rPr>
          <w:rFonts w:ascii="Times New Roman" w:hAnsi="Times New Roman" w:cs="Times New Roman"/>
          <w:noProof/>
          <w:sz w:val="24"/>
          <w:szCs w:val="24"/>
        </w:rPr>
      </w:pPr>
      <w:r w:rsidRPr="006B04D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Figure 3: Example </w:t>
      </w:r>
      <w:r w:rsidR="00DA3B14">
        <w:rPr>
          <w:rFonts w:ascii="Times New Roman" w:hAnsi="Times New Roman" w:cs="Times New Roman"/>
          <w:bCs/>
          <w:color w:val="000000"/>
          <w:sz w:val="24"/>
          <w:szCs w:val="24"/>
        </w:rPr>
        <w:t>overall indicator of training need</w:t>
      </w:r>
      <w:r w:rsidR="006B04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scoring r</w:t>
      </w:r>
      <w:r w:rsidRPr="006B04D0">
        <w:rPr>
          <w:rFonts w:ascii="Times New Roman" w:hAnsi="Times New Roman" w:cs="Times New Roman"/>
          <w:bCs/>
          <w:color w:val="000000"/>
          <w:sz w:val="24"/>
          <w:szCs w:val="24"/>
        </w:rPr>
        <w:t>ubric for “Data Sharing”</w:t>
      </w:r>
    </w:p>
    <w:tbl>
      <w:tblPr>
        <w:tblStyle w:val="TableGrid"/>
        <w:tblW w:w="4897" w:type="pct"/>
        <w:tblLook w:val="04A0" w:firstRow="1" w:lastRow="0" w:firstColumn="1" w:lastColumn="0" w:noHBand="0" w:noVBand="1"/>
      </w:tblPr>
      <w:tblGrid>
        <w:gridCol w:w="1638"/>
        <w:gridCol w:w="1426"/>
        <w:gridCol w:w="1186"/>
        <w:gridCol w:w="1170"/>
        <w:gridCol w:w="1080"/>
        <w:gridCol w:w="994"/>
        <w:gridCol w:w="1165"/>
        <w:gridCol w:w="720"/>
      </w:tblGrid>
      <w:tr w:rsidR="00D750D6" w:rsidTr="00D750D6">
        <w:trPr>
          <w:trHeight w:val="37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D6" w:rsidRDefault="00D750D6">
            <w:pPr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D750D6" w:rsidTr="00D750D6">
        <w:trPr>
          <w:trHeight w:val="26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relevance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Scale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Disagree (-2)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Disagree (-1)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 (0)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(1)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Agree (2)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750D6" w:rsidTr="00D750D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# Respondents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</w:tr>
      <w:tr w:rsidR="00D750D6" w:rsidTr="00D750D6">
        <w:trPr>
          <w:trHeight w:val="21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Relevance in near future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Scale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Disagree (-2)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Disagree (-1)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 (0)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(1)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Agree (2)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750D6" w:rsidTr="00D750D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# Respondents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</w:tr>
      <w:tr w:rsidR="00D750D6" w:rsidTr="00D750D6">
        <w:trPr>
          <w:trHeight w:val="3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Already doing?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Scale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(-1)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(1)</w:t>
            </w:r>
          </w:p>
        </w:tc>
        <w:tc>
          <w:tcPr>
            <w:tcW w:w="17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750D6" w:rsidTr="00D750D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# Respondents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</w:tr>
      <w:tr w:rsidR="00D750D6" w:rsidTr="00D750D6">
        <w:trPr>
          <w:trHeight w:val="224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Lack of Knowledge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Scale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Disagree (-2)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Disagree (-1)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 (0)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(1)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Agree (2)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750D6" w:rsidTr="00D750D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# Respondents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</w:tr>
      <w:tr w:rsidR="00D750D6" w:rsidTr="00D750D6">
        <w:trPr>
          <w:trHeight w:val="269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Anxiety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Scale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Disagree (-2)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Disagree (-1)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 (0)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(1)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Agree (2)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750D6" w:rsidTr="00D750D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D6" w:rsidRDefault="00D750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# Respondents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D6" w:rsidRDefault="00D750D6">
            <w:pPr>
              <w:rPr>
                <w:sz w:val="18"/>
                <w:szCs w:val="18"/>
              </w:rPr>
            </w:pPr>
          </w:p>
        </w:tc>
      </w:tr>
      <w:tr w:rsidR="00D750D6" w:rsidTr="00D750D6">
        <w:trPr>
          <w:trHeight w:val="334"/>
        </w:trPr>
        <w:tc>
          <w:tcPr>
            <w:tcW w:w="46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6B04D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Overall Indicator</w:t>
            </w:r>
            <w:r w:rsidR="00D750D6">
              <w:rPr>
                <w:b/>
                <w:sz w:val="18"/>
                <w:szCs w:val="18"/>
              </w:rPr>
              <w:t xml:space="preserve"> Score: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0D6" w:rsidRDefault="00D750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</w:tbl>
    <w:p w:rsidR="00D750D6" w:rsidRDefault="00D750D6" w:rsidP="00D750D6">
      <w:pPr>
        <w:rPr>
          <w:rFonts w:ascii="Calibri" w:hAnsi="Calibri"/>
          <w:color w:val="000000"/>
          <w:sz w:val="23"/>
          <w:szCs w:val="23"/>
        </w:rPr>
      </w:pPr>
    </w:p>
    <w:p w:rsidR="00D750D6" w:rsidRPr="006B04D0" w:rsidRDefault="00D750D6" w:rsidP="00D750D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4D0">
        <w:rPr>
          <w:rFonts w:ascii="Times New Roman" w:hAnsi="Times New Roman" w:cs="Times New Roman"/>
          <w:color w:val="000000"/>
          <w:sz w:val="24"/>
          <w:szCs w:val="24"/>
        </w:rPr>
        <w:t>Figure 4.</w:t>
      </w:r>
      <w:proofErr w:type="gramEnd"/>
      <w:r w:rsidRPr="006B04D0">
        <w:rPr>
          <w:rFonts w:ascii="Times New Roman" w:hAnsi="Times New Roman" w:cs="Times New Roman"/>
          <w:color w:val="000000"/>
          <w:sz w:val="24"/>
          <w:szCs w:val="24"/>
        </w:rPr>
        <w:t xml:space="preserve"> Overall training prioritization scores</w:t>
      </w:r>
    </w:p>
    <w:p w:rsidR="00D750D6" w:rsidRDefault="00D750D6" w:rsidP="00D750D6">
      <w:pPr>
        <w:rPr>
          <w:rFonts w:ascii="Calibri" w:hAnsi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14961678" wp14:editId="5CE8A487">
            <wp:extent cx="5943600" cy="3642995"/>
            <wp:effectExtent l="0" t="0" r="19050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777E" w:rsidRDefault="0097777E" w:rsidP="00D750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777E" w:rsidRDefault="0097777E" w:rsidP="00D750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777E" w:rsidRDefault="0097777E" w:rsidP="00D750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04D0" w:rsidRDefault="00D750D6" w:rsidP="00D750D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4D0">
        <w:rPr>
          <w:rFonts w:ascii="Times New Roman" w:hAnsi="Times New Roman" w:cs="Times New Roman"/>
          <w:color w:val="000000"/>
          <w:sz w:val="24"/>
          <w:szCs w:val="24"/>
        </w:rPr>
        <w:lastRenderedPageBreak/>
        <w:t>Figure 5.</w:t>
      </w:r>
      <w:proofErr w:type="gramEnd"/>
      <w:r w:rsidRPr="006B04D0">
        <w:rPr>
          <w:rFonts w:ascii="Times New Roman" w:hAnsi="Times New Roman" w:cs="Times New Roman"/>
          <w:color w:val="000000"/>
          <w:sz w:val="24"/>
          <w:szCs w:val="24"/>
        </w:rPr>
        <w:t xml:space="preserve"> Scores for relevance to participants’ jobs now and in five years</w:t>
      </w:r>
    </w:p>
    <w:p w:rsidR="0097777E" w:rsidRPr="0097777E" w:rsidRDefault="00B06B35" w:rsidP="006B04D0">
      <w:pPr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noProof/>
          <w:color w:val="000000"/>
          <w:sz w:val="23"/>
          <w:szCs w:val="23"/>
        </w:rPr>
        <w:drawing>
          <wp:inline distT="0" distB="0" distL="0" distR="0" wp14:anchorId="464F5F07" wp14:editId="6DFD772B">
            <wp:extent cx="5943600" cy="3400425"/>
            <wp:effectExtent l="0" t="0" r="1905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6B04D0" w:rsidRDefault="00DA3B14" w:rsidP="006B04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F8D78A" wp14:editId="0871B93B">
            <wp:simplePos x="0" y="0"/>
            <wp:positionH relativeFrom="column">
              <wp:posOffset>9525</wp:posOffset>
            </wp:positionH>
            <wp:positionV relativeFrom="paragraph">
              <wp:posOffset>2769235</wp:posOffset>
            </wp:positionV>
            <wp:extent cx="4391025" cy="9906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04D0">
        <w:rPr>
          <w:rFonts w:ascii="Times New Roman" w:hAnsi="Times New Roman" w:cs="Times New Roman"/>
          <w:color w:val="000000"/>
          <w:sz w:val="24"/>
          <w:szCs w:val="24"/>
        </w:rPr>
        <w:t>Figure 6.</w:t>
      </w:r>
      <w:proofErr w:type="gramEnd"/>
      <w:r w:rsidR="006B04D0">
        <w:rPr>
          <w:rFonts w:ascii="Times New Roman" w:hAnsi="Times New Roman" w:cs="Times New Roman"/>
          <w:color w:val="000000"/>
          <w:sz w:val="24"/>
          <w:szCs w:val="24"/>
        </w:rPr>
        <w:t xml:space="preserve"> Scores for participants’ lack of knowledge and anxiety levels concerning survey topics</w:t>
      </w:r>
      <w:r>
        <w:rPr>
          <w:noProof/>
        </w:rPr>
        <w:drawing>
          <wp:inline distT="0" distB="0" distL="0" distR="0" wp14:anchorId="748171F7" wp14:editId="24FDF908">
            <wp:extent cx="5943600" cy="3642995"/>
            <wp:effectExtent l="0" t="0" r="19050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3B14" w:rsidRPr="006B04D0" w:rsidRDefault="00DA3B14" w:rsidP="006B04D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Figure 7.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Frequency of topics about which participants currently interact with researchers</w:t>
      </w:r>
      <w:r>
        <w:rPr>
          <w:noProof/>
        </w:rPr>
        <w:drawing>
          <wp:inline distT="0" distB="0" distL="0" distR="0" wp14:anchorId="271CB55E" wp14:editId="136696EA">
            <wp:extent cx="5943600" cy="3642995"/>
            <wp:effectExtent l="0" t="0" r="19050" b="146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A3B14" w:rsidRPr="006B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53" w:rsidRDefault="00D11553" w:rsidP="006B04D0">
      <w:pPr>
        <w:spacing w:after="0" w:line="240" w:lineRule="auto"/>
      </w:pPr>
      <w:r>
        <w:separator/>
      </w:r>
    </w:p>
  </w:endnote>
  <w:endnote w:type="continuationSeparator" w:id="0">
    <w:p w:rsidR="00D11553" w:rsidRDefault="00D11553" w:rsidP="006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53" w:rsidRDefault="00D11553" w:rsidP="006B04D0">
      <w:pPr>
        <w:spacing w:after="0" w:line="240" w:lineRule="auto"/>
      </w:pPr>
      <w:r>
        <w:separator/>
      </w:r>
    </w:p>
  </w:footnote>
  <w:footnote w:type="continuationSeparator" w:id="0">
    <w:p w:rsidR="00D11553" w:rsidRDefault="00D11553" w:rsidP="006B0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D6"/>
    <w:rsid w:val="000A2A8E"/>
    <w:rsid w:val="001F54E4"/>
    <w:rsid w:val="002817A3"/>
    <w:rsid w:val="005D2A17"/>
    <w:rsid w:val="006B04D0"/>
    <w:rsid w:val="0097777E"/>
    <w:rsid w:val="00B06B35"/>
    <w:rsid w:val="00B7782A"/>
    <w:rsid w:val="00D11553"/>
    <w:rsid w:val="00D750D6"/>
    <w:rsid w:val="00DA3B14"/>
    <w:rsid w:val="00DA51AB"/>
    <w:rsid w:val="00E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D0"/>
  </w:style>
  <w:style w:type="paragraph" w:styleId="Footer">
    <w:name w:val="footer"/>
    <w:basedOn w:val="Normal"/>
    <w:link w:val="FooterChar"/>
    <w:uiPriority w:val="99"/>
    <w:unhideWhenUsed/>
    <w:rsid w:val="006B0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D0"/>
  </w:style>
  <w:style w:type="character" w:styleId="CommentReference">
    <w:name w:val="annotation reference"/>
    <w:basedOn w:val="DefaultParagraphFont"/>
    <w:uiPriority w:val="99"/>
    <w:semiHidden/>
    <w:unhideWhenUsed/>
    <w:rsid w:val="001F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D0"/>
  </w:style>
  <w:style w:type="paragraph" w:styleId="Footer">
    <w:name w:val="footer"/>
    <w:basedOn w:val="Normal"/>
    <w:link w:val="FooterChar"/>
    <w:uiPriority w:val="99"/>
    <w:unhideWhenUsed/>
    <w:rsid w:val="006B0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D0"/>
  </w:style>
  <w:style w:type="character" w:styleId="CommentReference">
    <w:name w:val="annotation reference"/>
    <w:basedOn w:val="DefaultParagraphFont"/>
    <w:uiPriority w:val="99"/>
    <w:semiHidden/>
    <w:unhideWhenUsed/>
    <w:rsid w:val="001F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Overall Indicator of Training Priorities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Open Access</c:v>
                </c:pt>
                <c:pt idx="1">
                  <c:v>Institutional Repositories</c:v>
                </c:pt>
                <c:pt idx="2">
                  <c:v>Copyright</c:v>
                </c:pt>
                <c:pt idx="3">
                  <c:v>Author's Rights</c:v>
                </c:pt>
                <c:pt idx="4">
                  <c:v>Funder Mandates</c:v>
                </c:pt>
                <c:pt idx="5">
                  <c:v>Finding Data</c:v>
                </c:pt>
                <c:pt idx="6">
                  <c:v>Data Citation</c:v>
                </c:pt>
                <c:pt idx="7">
                  <c:v>Data Management Plans</c:v>
                </c:pt>
                <c:pt idx="8">
                  <c:v>Data Preservation</c:v>
                </c:pt>
                <c:pt idx="9">
                  <c:v>Metadata</c:v>
                </c:pt>
                <c:pt idx="10">
                  <c:v>Data Sharing</c:v>
                </c:pt>
                <c:pt idx="11">
                  <c:v>Data Analysis</c:v>
                </c:pt>
                <c:pt idx="12">
                  <c:v>Data Lifecycles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20</c:v>
                </c:pt>
                <c:pt idx="1">
                  <c:v>21</c:v>
                </c:pt>
                <c:pt idx="2">
                  <c:v>26</c:v>
                </c:pt>
                <c:pt idx="3">
                  <c:v>28</c:v>
                </c:pt>
                <c:pt idx="4">
                  <c:v>32</c:v>
                </c:pt>
                <c:pt idx="5">
                  <c:v>33</c:v>
                </c:pt>
                <c:pt idx="6">
                  <c:v>43</c:v>
                </c:pt>
                <c:pt idx="7">
                  <c:v>49</c:v>
                </c:pt>
                <c:pt idx="8">
                  <c:v>52</c:v>
                </c:pt>
                <c:pt idx="9">
                  <c:v>53</c:v>
                </c:pt>
                <c:pt idx="10">
                  <c:v>54</c:v>
                </c:pt>
                <c:pt idx="11">
                  <c:v>57</c:v>
                </c:pt>
                <c:pt idx="1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12192"/>
        <c:axId val="120313728"/>
      </c:barChart>
      <c:catAx>
        <c:axId val="12031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13728"/>
        <c:crosses val="autoZero"/>
        <c:auto val="1"/>
        <c:lblAlgn val="ctr"/>
        <c:lblOffset val="100"/>
        <c:noMultiLvlLbl val="0"/>
      </c:catAx>
      <c:valAx>
        <c:axId val="12031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1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90255905511811"/>
          <c:y val="3.6121109861267341E-2"/>
          <c:w val="0.62231262758821804"/>
          <c:h val="0.59276434195725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Relevance now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Data Lifecycle</c:v>
                </c:pt>
                <c:pt idx="1">
                  <c:v>Data Management Plans</c:v>
                </c:pt>
                <c:pt idx="2">
                  <c:v>Data Sharing</c:v>
                </c:pt>
                <c:pt idx="3">
                  <c:v>Data Preservation</c:v>
                </c:pt>
                <c:pt idx="4">
                  <c:v>Data Analysis</c:v>
                </c:pt>
                <c:pt idx="5">
                  <c:v>Metadata</c:v>
                </c:pt>
                <c:pt idx="6">
                  <c:v>Funder Mandates</c:v>
                </c:pt>
                <c:pt idx="7">
                  <c:v>Data Citation</c:v>
                </c:pt>
                <c:pt idx="8">
                  <c:v>Institutional Repositories</c:v>
                </c:pt>
                <c:pt idx="9">
                  <c:v>Author's Rights</c:v>
                </c:pt>
                <c:pt idx="10">
                  <c:v>Finding Data</c:v>
                </c:pt>
                <c:pt idx="11">
                  <c:v>Copyright</c:v>
                </c:pt>
                <c:pt idx="12">
                  <c:v>Open Access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5</c:v>
                </c:pt>
                <c:pt idx="1">
                  <c:v>3</c:v>
                </c:pt>
                <c:pt idx="2">
                  <c:v>11</c:v>
                </c:pt>
                <c:pt idx="3">
                  <c:v>18</c:v>
                </c:pt>
                <c:pt idx="4">
                  <c:v>8</c:v>
                </c:pt>
                <c:pt idx="5">
                  <c:v>15</c:v>
                </c:pt>
                <c:pt idx="6">
                  <c:v>13</c:v>
                </c:pt>
                <c:pt idx="7">
                  <c:v>12</c:v>
                </c:pt>
                <c:pt idx="8">
                  <c:v>16</c:v>
                </c:pt>
                <c:pt idx="9">
                  <c:v>17</c:v>
                </c:pt>
                <c:pt idx="10">
                  <c:v>23</c:v>
                </c:pt>
                <c:pt idx="11">
                  <c:v>24</c:v>
                </c:pt>
                <c:pt idx="12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Relevance in five years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Data Lifecycle</c:v>
                </c:pt>
                <c:pt idx="1">
                  <c:v>Data Management Plans</c:v>
                </c:pt>
                <c:pt idx="2">
                  <c:v>Data Sharing</c:v>
                </c:pt>
                <c:pt idx="3">
                  <c:v>Data Preservation</c:v>
                </c:pt>
                <c:pt idx="4">
                  <c:v>Data Analysis</c:v>
                </c:pt>
                <c:pt idx="5">
                  <c:v>Metadata</c:v>
                </c:pt>
                <c:pt idx="6">
                  <c:v>Funder Mandates</c:v>
                </c:pt>
                <c:pt idx="7">
                  <c:v>Data Citation</c:v>
                </c:pt>
                <c:pt idx="8">
                  <c:v>Institutional Repositories</c:v>
                </c:pt>
                <c:pt idx="9">
                  <c:v>Author's Rights</c:v>
                </c:pt>
                <c:pt idx="10">
                  <c:v>Finding Data</c:v>
                </c:pt>
                <c:pt idx="11">
                  <c:v>Copyright</c:v>
                </c:pt>
                <c:pt idx="12">
                  <c:v>Open Access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21</c:v>
                </c:pt>
                <c:pt idx="1">
                  <c:v>21</c:v>
                </c:pt>
                <c:pt idx="2">
                  <c:v>22</c:v>
                </c:pt>
                <c:pt idx="3">
                  <c:v>22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26</c:v>
                </c:pt>
                <c:pt idx="8">
                  <c:v>26</c:v>
                </c:pt>
                <c:pt idx="9">
                  <c:v>27</c:v>
                </c:pt>
                <c:pt idx="10">
                  <c:v>29</c:v>
                </c:pt>
                <c:pt idx="11">
                  <c:v>30</c:v>
                </c:pt>
                <c:pt idx="1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50624"/>
        <c:axId val="121052160"/>
      </c:barChart>
      <c:catAx>
        <c:axId val="12105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52160"/>
        <c:crosses val="autoZero"/>
        <c:auto val="1"/>
        <c:lblAlgn val="ctr"/>
        <c:lblOffset val="100"/>
        <c:noMultiLvlLbl val="0"/>
      </c:catAx>
      <c:valAx>
        <c:axId val="1210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5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55747358503264"/>
          <c:y val="0.16757969747419363"/>
          <c:w val="0.66622047244094484"/>
          <c:h val="0.521966129517059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Lack of Knowledge</c:v>
                </c:pt>
              </c:strCache>
            </c:strRef>
          </c:tx>
          <c:invertIfNegative val="0"/>
          <c:cat>
            <c:numRef>
              <c:f>Sheet1!$A$2:$A$14</c:f>
              <c:numCache>
                <c:formatCode>General</c:formatCode>
                <c:ptCount val="13"/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-15</c:v>
                </c:pt>
                <c:pt idx="1">
                  <c:v>-15</c:v>
                </c:pt>
                <c:pt idx="2">
                  <c:v>-12</c:v>
                </c:pt>
                <c:pt idx="3">
                  <c:v>-18</c:v>
                </c:pt>
                <c:pt idx="4">
                  <c:v>-15</c:v>
                </c:pt>
                <c:pt idx="5">
                  <c:v>-11</c:v>
                </c:pt>
                <c:pt idx="6">
                  <c:v>-6</c:v>
                </c:pt>
                <c:pt idx="7">
                  <c:v>-1</c:v>
                </c:pt>
                <c:pt idx="8">
                  <c:v>-3</c:v>
                </c:pt>
                <c:pt idx="9">
                  <c:v>2</c:v>
                </c:pt>
                <c:pt idx="10">
                  <c:v>2</c:v>
                </c:pt>
                <c:pt idx="11">
                  <c:v>6</c:v>
                </c:pt>
                <c:pt idx="1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Anxiety</c:v>
                </c:pt>
              </c:strCache>
            </c:strRef>
          </c:tx>
          <c:invertIfNegative val="0"/>
          <c:cat>
            <c:numRef>
              <c:f>Sheet1!$A$2:$A$14</c:f>
              <c:numCache>
                <c:formatCode>General</c:formatCode>
                <c:ptCount val="13"/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-11</c:v>
                </c:pt>
                <c:pt idx="1">
                  <c:v>-9</c:v>
                </c:pt>
                <c:pt idx="2">
                  <c:v>-7</c:v>
                </c:pt>
                <c:pt idx="3">
                  <c:v>-5</c:v>
                </c:pt>
                <c:pt idx="4">
                  <c:v>-3</c:v>
                </c:pt>
                <c:pt idx="5">
                  <c:v>-2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8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73024"/>
        <c:axId val="121103488"/>
      </c:barChart>
      <c:catAx>
        <c:axId val="12107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103488"/>
        <c:crossesAt val="0"/>
        <c:auto val="1"/>
        <c:lblAlgn val="ctr"/>
        <c:lblOffset val="100"/>
        <c:noMultiLvlLbl val="0"/>
      </c:catAx>
      <c:valAx>
        <c:axId val="12110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73024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Data Lifecycles</c:v>
                </c:pt>
                <c:pt idx="1">
                  <c:v>Metadata</c:v>
                </c:pt>
                <c:pt idx="2">
                  <c:v>Data Management Plans</c:v>
                </c:pt>
                <c:pt idx="3">
                  <c:v>Data Analysis</c:v>
                </c:pt>
                <c:pt idx="4">
                  <c:v>Data Sharing</c:v>
                </c:pt>
                <c:pt idx="5">
                  <c:v>Data Preservation</c:v>
                </c:pt>
                <c:pt idx="6">
                  <c:v>Data Citation</c:v>
                </c:pt>
                <c:pt idx="7">
                  <c:v>Funder Mandates</c:v>
                </c:pt>
                <c:pt idx="8">
                  <c:v>Author's Rights</c:v>
                </c:pt>
                <c:pt idx="9">
                  <c:v>Institutional Repositories</c:v>
                </c:pt>
                <c:pt idx="10">
                  <c:v>Finding Data</c:v>
                </c:pt>
                <c:pt idx="11">
                  <c:v>Copyright</c:v>
                </c:pt>
                <c:pt idx="12">
                  <c:v>Open Access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  <c:pt idx="1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48576"/>
        <c:axId val="121850112"/>
      </c:barChart>
      <c:catAx>
        <c:axId val="12184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850112"/>
        <c:crosses val="autoZero"/>
        <c:auto val="1"/>
        <c:lblAlgn val="ctr"/>
        <c:lblOffset val="100"/>
        <c:noMultiLvlLbl val="0"/>
      </c:catAx>
      <c:valAx>
        <c:axId val="12185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84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Johnson</dc:creator>
  <cp:lastModifiedBy>Andrew Johnson</cp:lastModifiedBy>
  <cp:revision>2</cp:revision>
  <dcterms:created xsi:type="dcterms:W3CDTF">2013-04-16T01:30:00Z</dcterms:created>
  <dcterms:modified xsi:type="dcterms:W3CDTF">2013-04-16T01:30:00Z</dcterms:modified>
</cp:coreProperties>
</file>