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0BCE6" w14:textId="77777777" w:rsidR="0030323A" w:rsidRPr="001B1C7A" w:rsidRDefault="0030323A" w:rsidP="0030323A">
      <w:pPr>
        <w:jc w:val="center"/>
        <w:rPr>
          <w:color w:val="000000" w:themeColor="text1"/>
        </w:rPr>
      </w:pPr>
    </w:p>
    <w:p w14:paraId="191BB320" w14:textId="77777777" w:rsidR="0030323A" w:rsidRPr="001B1C7A" w:rsidRDefault="0030323A" w:rsidP="0030323A">
      <w:pPr>
        <w:jc w:val="center"/>
        <w:rPr>
          <w:rFonts w:ascii="Garamond" w:hAnsi="Garamond"/>
          <w:color w:val="000000" w:themeColor="text1"/>
          <w:sz w:val="52"/>
          <w:szCs w:val="52"/>
        </w:rPr>
      </w:pPr>
    </w:p>
    <w:p w14:paraId="56B397DC" w14:textId="77777777" w:rsidR="0030323A" w:rsidRPr="001B1C7A" w:rsidRDefault="0030323A" w:rsidP="0030323A">
      <w:pPr>
        <w:jc w:val="center"/>
        <w:rPr>
          <w:rFonts w:ascii="Garamond" w:hAnsi="Garamond"/>
          <w:color w:val="000000" w:themeColor="text1"/>
          <w:sz w:val="52"/>
          <w:szCs w:val="52"/>
        </w:rPr>
      </w:pPr>
    </w:p>
    <w:p w14:paraId="42D5A678" w14:textId="77777777" w:rsidR="0030323A" w:rsidRPr="001B1C7A" w:rsidRDefault="0030323A" w:rsidP="0030323A">
      <w:pPr>
        <w:jc w:val="center"/>
        <w:rPr>
          <w:rFonts w:ascii="Garamond" w:hAnsi="Garamond"/>
          <w:color w:val="000000" w:themeColor="text1"/>
          <w:sz w:val="52"/>
          <w:szCs w:val="52"/>
        </w:rPr>
      </w:pPr>
    </w:p>
    <w:p w14:paraId="15876A2B" w14:textId="3C5CD8CC" w:rsidR="0030323A" w:rsidRPr="001B1C7A" w:rsidRDefault="00CE4919" w:rsidP="00680558">
      <w:pPr>
        <w:jc w:val="center"/>
        <w:rPr>
          <w:rFonts w:ascii="Garamond" w:hAnsi="Garamond"/>
          <w:color w:val="000000" w:themeColor="text1"/>
          <w:sz w:val="52"/>
          <w:szCs w:val="52"/>
        </w:rPr>
      </w:pPr>
      <w:r>
        <w:rPr>
          <w:rFonts w:ascii="Garamond" w:hAnsi="Garamond"/>
          <w:color w:val="000000" w:themeColor="text1"/>
          <w:sz w:val="52"/>
          <w:szCs w:val="52"/>
        </w:rPr>
        <w:t xml:space="preserve">An </w:t>
      </w:r>
      <w:r w:rsidR="00634CB5">
        <w:rPr>
          <w:rFonts w:ascii="Garamond" w:hAnsi="Garamond"/>
          <w:color w:val="000000" w:themeColor="text1"/>
          <w:sz w:val="52"/>
          <w:szCs w:val="52"/>
        </w:rPr>
        <w:t>A</w:t>
      </w:r>
      <w:r>
        <w:rPr>
          <w:rFonts w:ascii="Garamond" w:hAnsi="Garamond"/>
          <w:color w:val="000000" w:themeColor="text1"/>
          <w:sz w:val="52"/>
          <w:szCs w:val="52"/>
        </w:rPr>
        <w:t xml:space="preserve">lignment of </w:t>
      </w:r>
      <w:r w:rsidR="00634CB5">
        <w:rPr>
          <w:rFonts w:ascii="Garamond" w:hAnsi="Garamond"/>
          <w:color w:val="000000" w:themeColor="text1"/>
          <w:sz w:val="52"/>
          <w:szCs w:val="52"/>
        </w:rPr>
        <w:t>C</w:t>
      </w:r>
      <w:r>
        <w:rPr>
          <w:rFonts w:ascii="Garamond" w:hAnsi="Garamond"/>
          <w:color w:val="000000" w:themeColor="text1"/>
          <w:sz w:val="52"/>
          <w:szCs w:val="52"/>
        </w:rPr>
        <w:t>ircumstance</w:t>
      </w:r>
      <w:r w:rsidR="0030323A" w:rsidRPr="001B1C7A">
        <w:rPr>
          <w:rFonts w:ascii="Garamond" w:hAnsi="Garamond"/>
          <w:color w:val="000000" w:themeColor="text1"/>
          <w:sz w:val="52"/>
          <w:szCs w:val="52"/>
        </w:rPr>
        <w:t>:</w:t>
      </w:r>
      <w:r w:rsidR="007135D6">
        <w:rPr>
          <w:rFonts w:ascii="Garamond" w:hAnsi="Garamond"/>
          <w:color w:val="000000" w:themeColor="text1"/>
          <w:sz w:val="52"/>
          <w:szCs w:val="52"/>
        </w:rPr>
        <w:t xml:space="preserve"> </w:t>
      </w:r>
      <w:r w:rsidR="00634CB5">
        <w:rPr>
          <w:rFonts w:ascii="Garamond" w:hAnsi="Garamond"/>
          <w:color w:val="000000" w:themeColor="text1"/>
          <w:sz w:val="52"/>
          <w:szCs w:val="52"/>
        </w:rPr>
        <w:t>Oil</w:t>
      </w:r>
      <w:r>
        <w:rPr>
          <w:rFonts w:ascii="Garamond" w:hAnsi="Garamond"/>
          <w:color w:val="000000" w:themeColor="text1"/>
          <w:sz w:val="52"/>
          <w:szCs w:val="52"/>
        </w:rPr>
        <w:t xml:space="preserve">, </w:t>
      </w:r>
      <w:r w:rsidR="00634CB5">
        <w:rPr>
          <w:rFonts w:ascii="Garamond" w:hAnsi="Garamond"/>
          <w:color w:val="000000" w:themeColor="text1"/>
          <w:sz w:val="52"/>
          <w:szCs w:val="52"/>
        </w:rPr>
        <w:t xml:space="preserve">U.S. National Security and </w:t>
      </w:r>
      <w:r>
        <w:rPr>
          <w:rFonts w:ascii="Garamond" w:hAnsi="Garamond"/>
          <w:color w:val="000000" w:themeColor="text1"/>
          <w:sz w:val="52"/>
          <w:szCs w:val="52"/>
        </w:rPr>
        <w:t>The King – Crane</w:t>
      </w:r>
      <w:r w:rsidR="00634CB5">
        <w:rPr>
          <w:rFonts w:ascii="Garamond" w:hAnsi="Garamond"/>
          <w:color w:val="000000" w:themeColor="text1"/>
          <w:sz w:val="52"/>
          <w:szCs w:val="52"/>
        </w:rPr>
        <w:t xml:space="preserve"> </w:t>
      </w:r>
      <w:r>
        <w:rPr>
          <w:rFonts w:ascii="Garamond" w:hAnsi="Garamond"/>
          <w:color w:val="000000" w:themeColor="text1"/>
          <w:sz w:val="52"/>
          <w:szCs w:val="52"/>
        </w:rPr>
        <w:t>Commission</w:t>
      </w:r>
      <w:r w:rsidR="0030323A" w:rsidRPr="001B1C7A">
        <w:rPr>
          <w:rFonts w:ascii="Garamond" w:hAnsi="Garamond"/>
          <w:color w:val="000000" w:themeColor="text1"/>
          <w:sz w:val="52"/>
          <w:szCs w:val="52"/>
        </w:rPr>
        <w:t xml:space="preserve"> </w:t>
      </w:r>
    </w:p>
    <w:p w14:paraId="0700A261" w14:textId="77777777" w:rsidR="0030323A" w:rsidRPr="001B1C7A" w:rsidRDefault="0030323A" w:rsidP="0030323A">
      <w:pPr>
        <w:rPr>
          <w:rFonts w:ascii="Garamond" w:hAnsi="Garamond"/>
          <w:color w:val="000000" w:themeColor="text1"/>
          <w:sz w:val="52"/>
          <w:szCs w:val="52"/>
        </w:rPr>
      </w:pPr>
    </w:p>
    <w:p w14:paraId="132708CC" w14:textId="594BC540" w:rsidR="004725CD" w:rsidRDefault="004725CD" w:rsidP="00680558">
      <w:pPr>
        <w:jc w:val="center"/>
        <w:rPr>
          <w:rFonts w:ascii="Garamond" w:hAnsi="Garamond"/>
          <w:color w:val="000000" w:themeColor="text1"/>
          <w:sz w:val="40"/>
          <w:szCs w:val="40"/>
        </w:rPr>
      </w:pPr>
      <w:r>
        <w:rPr>
          <w:rFonts w:ascii="Garamond" w:hAnsi="Garamond"/>
          <w:color w:val="000000" w:themeColor="text1"/>
          <w:sz w:val="40"/>
          <w:szCs w:val="40"/>
        </w:rPr>
        <w:t xml:space="preserve"> </w:t>
      </w:r>
    </w:p>
    <w:p w14:paraId="6B40C4BD" w14:textId="2EC8763B" w:rsidR="004725CD" w:rsidRDefault="004725CD" w:rsidP="0030323A">
      <w:pPr>
        <w:rPr>
          <w:rFonts w:ascii="Garamond" w:hAnsi="Garamond"/>
          <w:color w:val="000000" w:themeColor="text1"/>
          <w:sz w:val="40"/>
          <w:szCs w:val="40"/>
        </w:rPr>
      </w:pPr>
    </w:p>
    <w:p w14:paraId="5B6C7ABE" w14:textId="77777777" w:rsidR="004725CD" w:rsidRPr="00680558" w:rsidRDefault="004725CD" w:rsidP="0030323A">
      <w:pPr>
        <w:rPr>
          <w:rFonts w:ascii="Garamond" w:hAnsi="Garamond"/>
          <w:color w:val="000000" w:themeColor="text1"/>
          <w:sz w:val="40"/>
          <w:szCs w:val="40"/>
        </w:rPr>
      </w:pPr>
    </w:p>
    <w:p w14:paraId="56082564" w14:textId="7F4D9B1D" w:rsidR="0030323A" w:rsidRDefault="0030323A" w:rsidP="0030323A">
      <w:pPr>
        <w:jc w:val="center"/>
        <w:rPr>
          <w:rFonts w:ascii="Garamond" w:hAnsi="Garamond"/>
          <w:color w:val="000000" w:themeColor="text1"/>
          <w:sz w:val="40"/>
          <w:szCs w:val="40"/>
        </w:rPr>
      </w:pPr>
      <w:r w:rsidRPr="001B1C7A">
        <w:rPr>
          <w:rFonts w:ascii="Garamond" w:hAnsi="Garamond"/>
          <w:color w:val="000000" w:themeColor="text1"/>
          <w:sz w:val="40"/>
          <w:szCs w:val="40"/>
        </w:rPr>
        <w:t>Dylan Yachyshen</w:t>
      </w:r>
    </w:p>
    <w:p w14:paraId="5F44AF4E" w14:textId="3F72CEC5" w:rsidR="00195A1E" w:rsidRDefault="00195A1E" w:rsidP="0030323A">
      <w:pPr>
        <w:jc w:val="center"/>
        <w:rPr>
          <w:rFonts w:ascii="Garamond" w:hAnsi="Garamond"/>
          <w:color w:val="000000" w:themeColor="text1"/>
          <w:sz w:val="40"/>
          <w:szCs w:val="40"/>
        </w:rPr>
      </w:pPr>
    </w:p>
    <w:p w14:paraId="239C0202" w14:textId="181EB198" w:rsidR="0017343A" w:rsidRDefault="0040391C" w:rsidP="0017343A">
      <w:pPr>
        <w:jc w:val="center"/>
        <w:rPr>
          <w:rFonts w:ascii="Garamond" w:hAnsi="Garamond"/>
          <w:color w:val="000000" w:themeColor="text1"/>
          <w:sz w:val="40"/>
          <w:szCs w:val="40"/>
        </w:rPr>
      </w:pPr>
      <w:r>
        <w:rPr>
          <w:rFonts w:ascii="Garamond" w:hAnsi="Garamond"/>
          <w:color w:val="000000" w:themeColor="text1"/>
          <w:sz w:val="40"/>
          <w:szCs w:val="40"/>
        </w:rPr>
        <w:t xml:space="preserve">April 5, 2021 </w:t>
      </w:r>
    </w:p>
    <w:p w14:paraId="6C8FCD76" w14:textId="77777777" w:rsidR="0017343A" w:rsidRDefault="0017343A" w:rsidP="0017343A">
      <w:pPr>
        <w:jc w:val="center"/>
        <w:rPr>
          <w:rFonts w:ascii="Garamond" w:hAnsi="Garamond"/>
          <w:color w:val="000000" w:themeColor="text1"/>
          <w:sz w:val="40"/>
          <w:szCs w:val="40"/>
        </w:rPr>
      </w:pPr>
    </w:p>
    <w:p w14:paraId="04B256E5" w14:textId="48BC479D" w:rsidR="0017343A" w:rsidRDefault="0017343A" w:rsidP="0017343A">
      <w:pPr>
        <w:jc w:val="center"/>
        <w:rPr>
          <w:rFonts w:ascii="Garamond" w:hAnsi="Garamond"/>
          <w:color w:val="000000" w:themeColor="text1"/>
          <w:sz w:val="40"/>
          <w:szCs w:val="40"/>
        </w:rPr>
      </w:pPr>
    </w:p>
    <w:p w14:paraId="7A142341" w14:textId="4CA8A216" w:rsidR="0017343A" w:rsidRDefault="0017343A" w:rsidP="0017343A">
      <w:pPr>
        <w:spacing w:line="276" w:lineRule="auto"/>
        <w:jc w:val="center"/>
        <w:rPr>
          <w:rFonts w:ascii="Garamond" w:hAnsi="Garamond"/>
          <w:color w:val="000000" w:themeColor="text1"/>
          <w:sz w:val="28"/>
          <w:szCs w:val="28"/>
        </w:rPr>
      </w:pPr>
      <w:r>
        <w:rPr>
          <w:rFonts w:ascii="Garamond" w:hAnsi="Garamond"/>
          <w:color w:val="000000" w:themeColor="text1"/>
          <w:sz w:val="28"/>
          <w:szCs w:val="28"/>
        </w:rPr>
        <w:t xml:space="preserve">Advisor: </w:t>
      </w:r>
      <w:r w:rsidRPr="0017343A">
        <w:rPr>
          <w:rFonts w:ascii="Garamond" w:hAnsi="Garamond"/>
          <w:color w:val="000000" w:themeColor="text1"/>
          <w:sz w:val="28"/>
          <w:szCs w:val="28"/>
        </w:rPr>
        <w:t xml:space="preserve">Dr. Thomas </w:t>
      </w:r>
      <w:proofErr w:type="spellStart"/>
      <w:r w:rsidRPr="0017343A">
        <w:rPr>
          <w:rFonts w:ascii="Garamond" w:hAnsi="Garamond"/>
          <w:color w:val="000000" w:themeColor="text1"/>
          <w:sz w:val="28"/>
          <w:szCs w:val="28"/>
        </w:rPr>
        <w:t>Zeiler</w:t>
      </w:r>
      <w:proofErr w:type="spellEnd"/>
      <w:r w:rsidRPr="0017343A">
        <w:rPr>
          <w:rFonts w:ascii="Garamond" w:hAnsi="Garamond"/>
          <w:color w:val="000000" w:themeColor="text1"/>
          <w:sz w:val="28"/>
          <w:szCs w:val="28"/>
        </w:rPr>
        <w:t>, Department of International Affairs</w:t>
      </w:r>
    </w:p>
    <w:p w14:paraId="342A97B8" w14:textId="78D687F0" w:rsidR="0017343A" w:rsidRDefault="0017343A" w:rsidP="0017343A">
      <w:pPr>
        <w:spacing w:line="276" w:lineRule="auto"/>
        <w:jc w:val="center"/>
        <w:rPr>
          <w:rFonts w:ascii="Garamond" w:hAnsi="Garamond"/>
          <w:color w:val="000000" w:themeColor="text1"/>
          <w:sz w:val="28"/>
          <w:szCs w:val="28"/>
        </w:rPr>
      </w:pPr>
      <w:r>
        <w:rPr>
          <w:rFonts w:ascii="Garamond" w:hAnsi="Garamond"/>
          <w:color w:val="000000" w:themeColor="text1"/>
          <w:sz w:val="28"/>
          <w:szCs w:val="28"/>
        </w:rPr>
        <w:t>Honors Council: Dr. Douglas Snyder, Department of International Affairs</w:t>
      </w:r>
    </w:p>
    <w:p w14:paraId="60BD27F7" w14:textId="058D4863" w:rsidR="0017343A" w:rsidRPr="0017343A" w:rsidRDefault="0017343A" w:rsidP="0017343A">
      <w:pPr>
        <w:spacing w:line="276" w:lineRule="auto"/>
        <w:jc w:val="center"/>
        <w:rPr>
          <w:rFonts w:ascii="Garamond" w:hAnsi="Garamond"/>
          <w:color w:val="000000" w:themeColor="text1"/>
          <w:sz w:val="28"/>
          <w:szCs w:val="28"/>
        </w:rPr>
      </w:pPr>
      <w:r>
        <w:rPr>
          <w:rFonts w:ascii="Garamond" w:hAnsi="Garamond"/>
          <w:color w:val="000000" w:themeColor="text1"/>
          <w:sz w:val="28"/>
          <w:szCs w:val="28"/>
        </w:rPr>
        <w:t>Second Advisor: Dr. Lucy Chester, History</w:t>
      </w:r>
    </w:p>
    <w:p w14:paraId="118F4A51" w14:textId="77777777" w:rsidR="0030323A" w:rsidRPr="001B1C7A" w:rsidRDefault="0030323A" w:rsidP="0030323A">
      <w:pPr>
        <w:rPr>
          <w:rFonts w:ascii="Garamond" w:hAnsi="Garamond"/>
          <w:color w:val="000000" w:themeColor="text1"/>
          <w:sz w:val="52"/>
          <w:szCs w:val="52"/>
        </w:rPr>
      </w:pPr>
    </w:p>
    <w:p w14:paraId="4122C8DD" w14:textId="77777777" w:rsidR="0030323A" w:rsidRPr="001B1C7A" w:rsidRDefault="0030323A" w:rsidP="0030323A">
      <w:pPr>
        <w:rPr>
          <w:rFonts w:ascii="Garamond" w:hAnsi="Garamond"/>
          <w:color w:val="000000" w:themeColor="text1"/>
          <w:sz w:val="52"/>
          <w:szCs w:val="52"/>
        </w:rPr>
      </w:pPr>
    </w:p>
    <w:p w14:paraId="6E808C0A" w14:textId="77777777" w:rsidR="0030323A" w:rsidRPr="001B1C7A" w:rsidRDefault="0030323A" w:rsidP="0030323A">
      <w:pPr>
        <w:rPr>
          <w:rFonts w:ascii="Garamond" w:hAnsi="Garamond"/>
          <w:color w:val="000000" w:themeColor="text1"/>
          <w:sz w:val="52"/>
          <w:szCs w:val="52"/>
        </w:rPr>
      </w:pPr>
    </w:p>
    <w:p w14:paraId="54895FF5" w14:textId="77777777" w:rsidR="0030323A" w:rsidRPr="001B1C7A" w:rsidRDefault="0030323A" w:rsidP="0030323A">
      <w:pPr>
        <w:rPr>
          <w:rFonts w:ascii="Garamond" w:hAnsi="Garamond"/>
          <w:color w:val="000000" w:themeColor="text1"/>
          <w:sz w:val="52"/>
          <w:szCs w:val="52"/>
        </w:rPr>
      </w:pPr>
    </w:p>
    <w:p w14:paraId="35330B74" w14:textId="77777777" w:rsidR="0030323A" w:rsidRPr="00680558" w:rsidRDefault="0030323A" w:rsidP="0030323A">
      <w:pPr>
        <w:rPr>
          <w:rFonts w:ascii="Garamond" w:hAnsi="Garamond"/>
          <w:color w:val="000000" w:themeColor="text1"/>
          <w:sz w:val="48"/>
          <w:szCs w:val="48"/>
        </w:rPr>
      </w:pPr>
    </w:p>
    <w:p w14:paraId="50BCBF7D" w14:textId="77777777" w:rsidR="008714A4" w:rsidRPr="00680558" w:rsidRDefault="008714A4" w:rsidP="008714A4">
      <w:pPr>
        <w:jc w:val="center"/>
        <w:rPr>
          <w:rFonts w:ascii="Garamond" w:hAnsi="Garamond"/>
          <w:color w:val="000000" w:themeColor="text1"/>
          <w:sz w:val="28"/>
          <w:szCs w:val="28"/>
        </w:rPr>
      </w:pPr>
      <w:r w:rsidRPr="00680558">
        <w:rPr>
          <w:rFonts w:ascii="Garamond" w:hAnsi="Garamond"/>
          <w:color w:val="000000" w:themeColor="text1"/>
          <w:sz w:val="28"/>
          <w:szCs w:val="28"/>
        </w:rPr>
        <w:t>“Even though the fields of Flanders might decide the battle, Germany was fighting for the Middle East.”</w:t>
      </w:r>
    </w:p>
    <w:p w14:paraId="740AEECE" w14:textId="77777777" w:rsidR="008714A4" w:rsidRPr="00680558" w:rsidRDefault="008714A4" w:rsidP="008714A4">
      <w:pPr>
        <w:jc w:val="center"/>
        <w:rPr>
          <w:rFonts w:ascii="Garamond" w:hAnsi="Garamond"/>
          <w:color w:val="000000" w:themeColor="text1"/>
          <w:sz w:val="28"/>
          <w:szCs w:val="28"/>
        </w:rPr>
      </w:pPr>
    </w:p>
    <w:p w14:paraId="62785137" w14:textId="77777777" w:rsidR="008714A4" w:rsidRPr="00680558" w:rsidRDefault="008714A4" w:rsidP="008714A4">
      <w:pPr>
        <w:jc w:val="center"/>
        <w:rPr>
          <w:rFonts w:ascii="Garamond" w:hAnsi="Garamond"/>
          <w:color w:val="000000" w:themeColor="text1"/>
          <w:sz w:val="28"/>
          <w:szCs w:val="28"/>
        </w:rPr>
      </w:pPr>
      <w:r w:rsidRPr="00680558">
        <w:rPr>
          <w:rFonts w:ascii="Garamond" w:hAnsi="Garamond"/>
          <w:color w:val="000000" w:themeColor="text1"/>
          <w:sz w:val="28"/>
          <w:szCs w:val="28"/>
        </w:rPr>
        <w:t>British Diplomat Mark Sykes</w:t>
      </w:r>
    </w:p>
    <w:p w14:paraId="1BE8FCFD" w14:textId="77777777" w:rsidR="0030323A" w:rsidRDefault="0030323A" w:rsidP="00764D3F">
      <w:pPr>
        <w:spacing w:line="480" w:lineRule="auto"/>
        <w:rPr>
          <w:rFonts w:ascii="Garamond" w:hAnsi="Garamond"/>
          <w:b/>
          <w:bCs/>
          <w:color w:val="000000" w:themeColor="text1"/>
        </w:rPr>
      </w:pPr>
    </w:p>
    <w:sdt>
      <w:sdtPr>
        <w:rPr>
          <w:rFonts w:asciiTheme="minorHAnsi" w:eastAsiaTheme="minorHAnsi" w:hAnsiTheme="minorHAnsi" w:cstheme="minorBidi"/>
          <w:b w:val="0"/>
          <w:bCs w:val="0"/>
          <w:color w:val="auto"/>
          <w:sz w:val="24"/>
          <w:szCs w:val="24"/>
        </w:rPr>
        <w:id w:val="-1244029874"/>
        <w:docPartObj>
          <w:docPartGallery w:val="Table of Contents"/>
          <w:docPartUnique/>
        </w:docPartObj>
      </w:sdtPr>
      <w:sdtEndPr>
        <w:rPr>
          <w:rFonts w:ascii="Times New Roman" w:eastAsia="Times New Roman" w:hAnsi="Times New Roman" w:cs="Times New Roman"/>
          <w:noProof/>
        </w:rPr>
      </w:sdtEndPr>
      <w:sdtContent>
        <w:p w14:paraId="543E3C31" w14:textId="62F75AED" w:rsidR="0030323A" w:rsidRPr="00885037" w:rsidRDefault="0030323A" w:rsidP="0030323A">
          <w:pPr>
            <w:pStyle w:val="TOCHeading"/>
            <w:rPr>
              <w:rFonts w:ascii="Garamond" w:hAnsi="Garamond"/>
              <w:color w:val="000000" w:themeColor="text1"/>
              <w:sz w:val="32"/>
              <w:szCs w:val="32"/>
            </w:rPr>
          </w:pPr>
          <w:r w:rsidRPr="00885037">
            <w:rPr>
              <w:rFonts w:ascii="Garamond" w:hAnsi="Garamond"/>
              <w:color w:val="000000" w:themeColor="text1"/>
              <w:sz w:val="32"/>
              <w:szCs w:val="32"/>
            </w:rPr>
            <w:t>Table of Contents</w:t>
          </w:r>
        </w:p>
        <w:p w14:paraId="73F8A674" w14:textId="45405A32" w:rsidR="00885037" w:rsidRPr="00885037" w:rsidRDefault="0030323A">
          <w:pPr>
            <w:pStyle w:val="TOC1"/>
            <w:tabs>
              <w:tab w:val="left" w:pos="480"/>
              <w:tab w:val="right" w:pos="9350"/>
            </w:tabs>
            <w:rPr>
              <w:rFonts w:ascii="Garamond" w:eastAsiaTheme="minorEastAsia" w:hAnsi="Garamond"/>
              <w:b w:val="0"/>
              <w:bCs w:val="0"/>
              <w:caps w:val="0"/>
              <w:noProof/>
              <w:sz w:val="24"/>
              <w:szCs w:val="24"/>
            </w:rPr>
          </w:pPr>
          <w:r w:rsidRPr="00885037">
            <w:rPr>
              <w:rFonts w:ascii="Garamond" w:hAnsi="Garamond"/>
              <w:b w:val="0"/>
              <w:bCs w:val="0"/>
              <w:sz w:val="22"/>
              <w:szCs w:val="22"/>
            </w:rPr>
            <w:fldChar w:fldCharType="begin"/>
          </w:r>
          <w:r w:rsidRPr="00885037">
            <w:rPr>
              <w:rFonts w:ascii="Garamond" w:hAnsi="Garamond"/>
              <w:sz w:val="22"/>
              <w:szCs w:val="22"/>
            </w:rPr>
            <w:instrText xml:space="preserve"> TOC \o "1-3" \h \z \u </w:instrText>
          </w:r>
          <w:r w:rsidRPr="00885037">
            <w:rPr>
              <w:rFonts w:ascii="Garamond" w:hAnsi="Garamond"/>
              <w:b w:val="0"/>
              <w:bCs w:val="0"/>
              <w:sz w:val="22"/>
              <w:szCs w:val="22"/>
            </w:rPr>
            <w:fldChar w:fldCharType="separate"/>
          </w:r>
          <w:hyperlink w:anchor="_Toc66731771" w:history="1">
            <w:r w:rsidR="00885037" w:rsidRPr="00885037">
              <w:rPr>
                <w:rStyle w:val="Hyperlink"/>
                <w:rFonts w:ascii="Garamond" w:hAnsi="Garamond"/>
                <w:noProof/>
                <w:lang w:bidi="en-US"/>
              </w:rPr>
              <w:t>I.</w:t>
            </w:r>
            <w:r w:rsidR="00885037" w:rsidRPr="00885037">
              <w:rPr>
                <w:rFonts w:ascii="Garamond" w:eastAsiaTheme="minorEastAsia" w:hAnsi="Garamond"/>
                <w:b w:val="0"/>
                <w:bCs w:val="0"/>
                <w:caps w:val="0"/>
                <w:noProof/>
                <w:sz w:val="24"/>
                <w:szCs w:val="24"/>
              </w:rPr>
              <w:tab/>
            </w:r>
            <w:r w:rsidR="00885037" w:rsidRPr="00885037">
              <w:rPr>
                <w:rStyle w:val="Hyperlink"/>
                <w:rFonts w:ascii="Garamond" w:hAnsi="Garamond"/>
                <w:noProof/>
                <w:lang w:bidi="en-US"/>
              </w:rPr>
              <w:t>Introduction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_Toc66731771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3</w:t>
            </w:r>
            <w:r w:rsidR="00885037" w:rsidRPr="00885037">
              <w:rPr>
                <w:rFonts w:ascii="Garamond" w:hAnsi="Garamond"/>
                <w:noProof/>
                <w:webHidden/>
              </w:rPr>
              <w:fldChar w:fldCharType="end"/>
            </w:r>
          </w:hyperlink>
        </w:p>
        <w:p w14:paraId="2516A016" w14:textId="0DE64A33" w:rsidR="00885037" w:rsidRPr="00885037" w:rsidRDefault="009B18F2">
          <w:pPr>
            <w:pStyle w:val="TOC1"/>
            <w:tabs>
              <w:tab w:val="left" w:pos="480"/>
              <w:tab w:val="right" w:pos="9350"/>
            </w:tabs>
            <w:rPr>
              <w:rFonts w:ascii="Garamond" w:eastAsiaTheme="minorEastAsia" w:hAnsi="Garamond"/>
              <w:b w:val="0"/>
              <w:bCs w:val="0"/>
              <w:caps w:val="0"/>
              <w:noProof/>
              <w:sz w:val="24"/>
              <w:szCs w:val="24"/>
            </w:rPr>
          </w:pPr>
          <w:hyperlink w:anchor="_Toc66731772" w:history="1">
            <w:r w:rsidR="00885037" w:rsidRPr="00885037">
              <w:rPr>
                <w:rStyle w:val="Hyperlink"/>
                <w:rFonts w:ascii="Garamond" w:hAnsi="Garamond"/>
                <w:noProof/>
                <w:lang w:bidi="en-US"/>
              </w:rPr>
              <w:t>II.</w:t>
            </w:r>
            <w:r w:rsidR="00885037" w:rsidRPr="00885037">
              <w:rPr>
                <w:rFonts w:ascii="Garamond" w:eastAsiaTheme="minorEastAsia" w:hAnsi="Garamond"/>
                <w:b w:val="0"/>
                <w:bCs w:val="0"/>
                <w:caps w:val="0"/>
                <w:noProof/>
                <w:sz w:val="24"/>
                <w:szCs w:val="24"/>
              </w:rPr>
              <w:tab/>
            </w:r>
            <w:r w:rsidR="00885037" w:rsidRPr="00885037">
              <w:rPr>
                <w:rStyle w:val="Hyperlink"/>
                <w:rFonts w:ascii="Garamond" w:hAnsi="Garamond"/>
                <w:noProof/>
                <w:lang w:bidi="en-US"/>
              </w:rPr>
              <w:t>Background</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_Toc66731772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5</w:t>
            </w:r>
            <w:r w:rsidR="00885037" w:rsidRPr="00885037">
              <w:rPr>
                <w:rFonts w:ascii="Garamond" w:hAnsi="Garamond"/>
                <w:noProof/>
                <w:webHidden/>
              </w:rPr>
              <w:fldChar w:fldCharType="end"/>
            </w:r>
          </w:hyperlink>
        </w:p>
        <w:p w14:paraId="70082DDA" w14:textId="29243FAD" w:rsidR="00885037" w:rsidRPr="00885037" w:rsidRDefault="009B18F2">
          <w:pPr>
            <w:pStyle w:val="TOC2"/>
            <w:tabs>
              <w:tab w:val="left" w:pos="720"/>
              <w:tab w:val="right" w:pos="9350"/>
            </w:tabs>
            <w:rPr>
              <w:rFonts w:ascii="Garamond" w:eastAsiaTheme="minorEastAsia" w:hAnsi="Garamond"/>
              <w:smallCaps w:val="0"/>
              <w:noProof/>
              <w:sz w:val="24"/>
              <w:szCs w:val="24"/>
            </w:rPr>
          </w:pPr>
          <w:hyperlink w:anchor="_Toc66731773" w:history="1">
            <w:r w:rsidR="00885037" w:rsidRPr="00885037">
              <w:rPr>
                <w:rStyle w:val="Hyperlink"/>
                <w:rFonts w:ascii="Garamond" w:hAnsi="Garamond"/>
                <w:noProof/>
              </w:rPr>
              <w:t>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The Development of Middle Eastern Oil Competition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_Toc66731773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5</w:t>
            </w:r>
            <w:r w:rsidR="00885037" w:rsidRPr="00885037">
              <w:rPr>
                <w:rFonts w:ascii="Garamond" w:hAnsi="Garamond"/>
                <w:noProof/>
                <w:webHidden/>
              </w:rPr>
              <w:fldChar w:fldCharType="end"/>
            </w:r>
          </w:hyperlink>
        </w:p>
        <w:p w14:paraId="04D3F770" w14:textId="6B67A6CC" w:rsidR="00885037" w:rsidRPr="00885037" w:rsidRDefault="009B18F2">
          <w:pPr>
            <w:pStyle w:val="TOC2"/>
            <w:tabs>
              <w:tab w:val="left" w:pos="720"/>
              <w:tab w:val="right" w:pos="9350"/>
            </w:tabs>
            <w:rPr>
              <w:rFonts w:ascii="Garamond" w:eastAsiaTheme="minorEastAsia" w:hAnsi="Garamond"/>
              <w:smallCaps w:val="0"/>
              <w:noProof/>
              <w:sz w:val="24"/>
              <w:szCs w:val="24"/>
            </w:rPr>
          </w:pPr>
          <w:hyperlink w:anchor="_Toc66731774" w:history="1">
            <w:r w:rsidR="00885037" w:rsidRPr="00885037">
              <w:rPr>
                <w:rStyle w:val="Hyperlink"/>
                <w:rFonts w:ascii="Garamond" w:hAnsi="Garamond"/>
                <w:noProof/>
              </w:rPr>
              <w:t>II.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The Pacific, Japan and Oil as a U.S. Security Issue</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_Toc66731774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8</w:t>
            </w:r>
            <w:r w:rsidR="00885037" w:rsidRPr="00885037">
              <w:rPr>
                <w:rFonts w:ascii="Garamond" w:hAnsi="Garamond"/>
                <w:noProof/>
                <w:webHidden/>
              </w:rPr>
              <w:fldChar w:fldCharType="end"/>
            </w:r>
          </w:hyperlink>
        </w:p>
        <w:p w14:paraId="52C84540" w14:textId="63494071" w:rsidR="00885037" w:rsidRPr="00885037" w:rsidRDefault="009B18F2">
          <w:pPr>
            <w:pStyle w:val="TOC2"/>
            <w:tabs>
              <w:tab w:val="left" w:pos="960"/>
              <w:tab w:val="right" w:pos="9350"/>
            </w:tabs>
            <w:rPr>
              <w:rFonts w:ascii="Garamond" w:eastAsiaTheme="minorEastAsia" w:hAnsi="Garamond"/>
              <w:smallCaps w:val="0"/>
              <w:noProof/>
              <w:sz w:val="24"/>
              <w:szCs w:val="24"/>
            </w:rPr>
          </w:pPr>
          <w:hyperlink w:anchor="_Toc66731775" w:history="1">
            <w:r w:rsidR="00885037" w:rsidRPr="00885037">
              <w:rPr>
                <w:rStyle w:val="Hyperlink"/>
                <w:rFonts w:ascii="Garamond" w:hAnsi="Garamond"/>
                <w:noProof/>
              </w:rPr>
              <w:t>III.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Sykes – Picot, Wartime Promises and Long – Bérenger</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_Toc66731775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9</w:t>
            </w:r>
            <w:r w:rsidR="00885037" w:rsidRPr="00885037">
              <w:rPr>
                <w:rFonts w:ascii="Garamond" w:hAnsi="Garamond"/>
                <w:noProof/>
                <w:webHidden/>
              </w:rPr>
              <w:fldChar w:fldCharType="end"/>
            </w:r>
          </w:hyperlink>
        </w:p>
        <w:p w14:paraId="68157F9D" w14:textId="76A15ADA" w:rsidR="00885037" w:rsidRPr="00885037" w:rsidRDefault="009B18F2">
          <w:pPr>
            <w:pStyle w:val="TOC2"/>
            <w:tabs>
              <w:tab w:val="left" w:pos="960"/>
              <w:tab w:val="right" w:pos="9350"/>
            </w:tabs>
            <w:rPr>
              <w:rFonts w:ascii="Garamond" w:eastAsiaTheme="minorEastAsia" w:hAnsi="Garamond"/>
              <w:smallCaps w:val="0"/>
              <w:noProof/>
              <w:sz w:val="24"/>
              <w:szCs w:val="24"/>
            </w:rPr>
          </w:pPr>
          <w:hyperlink w:anchor="_Toc66731776" w:history="1">
            <w:r w:rsidR="00885037" w:rsidRPr="00885037">
              <w:rPr>
                <w:rStyle w:val="Hyperlink"/>
                <w:rFonts w:ascii="Garamond" w:hAnsi="Garamond"/>
                <w:noProof/>
              </w:rPr>
              <w:t>IV.</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Fighting in the Middle East</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_Toc66731776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10</w:t>
            </w:r>
            <w:r w:rsidR="00885037" w:rsidRPr="00885037">
              <w:rPr>
                <w:rFonts w:ascii="Garamond" w:hAnsi="Garamond"/>
                <w:noProof/>
                <w:webHidden/>
              </w:rPr>
              <w:fldChar w:fldCharType="end"/>
            </w:r>
          </w:hyperlink>
        </w:p>
        <w:p w14:paraId="1BCDA24C" w14:textId="5850F7D3" w:rsidR="00885037" w:rsidRPr="00885037" w:rsidRDefault="009B18F2">
          <w:pPr>
            <w:pStyle w:val="TOC2"/>
            <w:tabs>
              <w:tab w:val="left" w:pos="720"/>
              <w:tab w:val="right" w:pos="9350"/>
            </w:tabs>
            <w:rPr>
              <w:rFonts w:ascii="Garamond" w:eastAsiaTheme="minorEastAsia" w:hAnsi="Garamond"/>
              <w:smallCaps w:val="0"/>
              <w:noProof/>
              <w:sz w:val="24"/>
              <w:szCs w:val="24"/>
            </w:rPr>
          </w:pPr>
          <w:hyperlink w:anchor="_Toc66731777" w:history="1">
            <w:r w:rsidR="00885037" w:rsidRPr="00885037">
              <w:rPr>
                <w:rStyle w:val="Hyperlink"/>
                <w:rFonts w:ascii="Garamond" w:hAnsi="Garamond"/>
                <w:noProof/>
              </w:rPr>
              <w:t>V.</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Wilsonianism and the Mandate System</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_Toc66731777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11</w:t>
            </w:r>
            <w:r w:rsidR="00885037" w:rsidRPr="00885037">
              <w:rPr>
                <w:rFonts w:ascii="Garamond" w:hAnsi="Garamond"/>
                <w:noProof/>
                <w:webHidden/>
              </w:rPr>
              <w:fldChar w:fldCharType="end"/>
            </w:r>
          </w:hyperlink>
        </w:p>
        <w:p w14:paraId="3AD8058B" w14:textId="71C9BDD0" w:rsidR="00885037" w:rsidRPr="00885037" w:rsidRDefault="009B18F2">
          <w:pPr>
            <w:pStyle w:val="TOC2"/>
            <w:tabs>
              <w:tab w:val="left" w:pos="960"/>
              <w:tab w:val="right" w:pos="9350"/>
            </w:tabs>
            <w:rPr>
              <w:rFonts w:ascii="Garamond" w:eastAsiaTheme="minorEastAsia" w:hAnsi="Garamond"/>
              <w:smallCaps w:val="0"/>
              <w:noProof/>
              <w:sz w:val="24"/>
              <w:szCs w:val="24"/>
            </w:rPr>
          </w:pPr>
          <w:hyperlink w:anchor="_Toc66731778" w:history="1">
            <w:r w:rsidR="00885037" w:rsidRPr="00885037">
              <w:rPr>
                <w:rStyle w:val="Hyperlink"/>
                <w:rFonts w:ascii="Garamond" w:hAnsi="Garamond"/>
                <w:noProof/>
              </w:rPr>
              <w:t>VI.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The Composition of the K.C.C.</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_Toc66731778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12</w:t>
            </w:r>
            <w:r w:rsidR="00885037" w:rsidRPr="00885037">
              <w:rPr>
                <w:rFonts w:ascii="Garamond" w:hAnsi="Garamond"/>
                <w:noProof/>
                <w:webHidden/>
              </w:rPr>
              <w:fldChar w:fldCharType="end"/>
            </w:r>
          </w:hyperlink>
        </w:p>
        <w:p w14:paraId="0C59675D" w14:textId="7B815310" w:rsidR="00885037" w:rsidRPr="00885037" w:rsidRDefault="009B18F2">
          <w:pPr>
            <w:pStyle w:val="TOC2"/>
            <w:tabs>
              <w:tab w:val="left" w:pos="960"/>
              <w:tab w:val="right" w:pos="9350"/>
            </w:tabs>
            <w:rPr>
              <w:rFonts w:ascii="Garamond" w:eastAsiaTheme="minorEastAsia" w:hAnsi="Garamond"/>
              <w:smallCaps w:val="0"/>
              <w:noProof/>
              <w:sz w:val="24"/>
              <w:szCs w:val="24"/>
            </w:rPr>
          </w:pPr>
          <w:hyperlink w:anchor="_Toc66731779" w:history="1">
            <w:r w:rsidR="00885037" w:rsidRPr="00885037">
              <w:rPr>
                <w:rStyle w:val="Hyperlink"/>
                <w:rFonts w:ascii="Garamond" w:hAnsi="Garamond"/>
                <w:noProof/>
              </w:rPr>
              <w:t>VII.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The Activities of the King Crane Commission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_Toc66731779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14</w:t>
            </w:r>
            <w:r w:rsidR="00885037" w:rsidRPr="00885037">
              <w:rPr>
                <w:rFonts w:ascii="Garamond" w:hAnsi="Garamond"/>
                <w:noProof/>
                <w:webHidden/>
              </w:rPr>
              <w:fldChar w:fldCharType="end"/>
            </w:r>
          </w:hyperlink>
        </w:p>
        <w:p w14:paraId="5CDF014C" w14:textId="622C8B09" w:rsidR="00885037" w:rsidRPr="00885037" w:rsidRDefault="009B18F2">
          <w:pPr>
            <w:pStyle w:val="TOC2"/>
            <w:tabs>
              <w:tab w:val="left" w:pos="960"/>
              <w:tab w:val="right" w:pos="9350"/>
            </w:tabs>
            <w:rPr>
              <w:rFonts w:ascii="Garamond" w:eastAsiaTheme="minorEastAsia" w:hAnsi="Garamond"/>
              <w:smallCaps w:val="0"/>
              <w:noProof/>
              <w:sz w:val="24"/>
              <w:szCs w:val="24"/>
            </w:rPr>
          </w:pPr>
          <w:hyperlink w:anchor="_Toc66731780" w:history="1">
            <w:r w:rsidR="00885037" w:rsidRPr="00885037">
              <w:rPr>
                <w:rStyle w:val="Hyperlink"/>
                <w:rFonts w:ascii="Garamond" w:hAnsi="Garamond"/>
                <w:noProof/>
              </w:rPr>
              <w:t>VIII.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Post King-Crane Commission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_Toc66731780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15</w:t>
            </w:r>
            <w:r w:rsidR="00885037" w:rsidRPr="00885037">
              <w:rPr>
                <w:rFonts w:ascii="Garamond" w:hAnsi="Garamond"/>
                <w:noProof/>
                <w:webHidden/>
              </w:rPr>
              <w:fldChar w:fldCharType="end"/>
            </w:r>
          </w:hyperlink>
        </w:p>
        <w:p w14:paraId="7241A862" w14:textId="2CD05909" w:rsidR="00885037" w:rsidRPr="00885037" w:rsidRDefault="009B18F2">
          <w:pPr>
            <w:pStyle w:val="TOC1"/>
            <w:tabs>
              <w:tab w:val="left" w:pos="720"/>
              <w:tab w:val="right" w:pos="9350"/>
            </w:tabs>
            <w:rPr>
              <w:rFonts w:ascii="Garamond" w:eastAsiaTheme="minorEastAsia" w:hAnsi="Garamond"/>
              <w:b w:val="0"/>
              <w:bCs w:val="0"/>
              <w:caps w:val="0"/>
              <w:noProof/>
              <w:sz w:val="24"/>
              <w:szCs w:val="24"/>
            </w:rPr>
          </w:pPr>
          <w:hyperlink w:anchor="_Toc66731782" w:history="1">
            <w:r w:rsidR="00885037" w:rsidRPr="00885037">
              <w:rPr>
                <w:rStyle w:val="Hyperlink"/>
                <w:rFonts w:ascii="Garamond" w:hAnsi="Garamond"/>
                <w:noProof/>
                <w:lang w:bidi="en-US"/>
              </w:rPr>
              <w:t>III.</w:t>
            </w:r>
            <w:r w:rsidR="00885037" w:rsidRPr="00885037">
              <w:rPr>
                <w:rFonts w:ascii="Garamond" w:eastAsiaTheme="minorEastAsia" w:hAnsi="Garamond"/>
                <w:b w:val="0"/>
                <w:bCs w:val="0"/>
                <w:caps w:val="0"/>
                <w:noProof/>
                <w:sz w:val="24"/>
                <w:szCs w:val="24"/>
              </w:rPr>
              <w:tab/>
            </w:r>
            <w:r w:rsidR="00885037" w:rsidRPr="00885037">
              <w:rPr>
                <w:rStyle w:val="Hyperlink"/>
                <w:rFonts w:ascii="Garamond" w:hAnsi="Garamond"/>
                <w:noProof/>
                <w:lang w:bidi="en-US"/>
              </w:rPr>
              <w:t>Review of the Literature</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_Toc66731782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16</w:t>
            </w:r>
            <w:r w:rsidR="00885037" w:rsidRPr="00885037">
              <w:rPr>
                <w:rFonts w:ascii="Garamond" w:hAnsi="Garamond"/>
                <w:noProof/>
                <w:webHidden/>
              </w:rPr>
              <w:fldChar w:fldCharType="end"/>
            </w:r>
          </w:hyperlink>
        </w:p>
        <w:p w14:paraId="5BE5A765" w14:textId="393F1E40" w:rsidR="00885037" w:rsidRPr="00885037" w:rsidRDefault="009B18F2">
          <w:pPr>
            <w:pStyle w:val="TOC2"/>
            <w:tabs>
              <w:tab w:val="left" w:pos="720"/>
              <w:tab w:val="right" w:pos="9350"/>
            </w:tabs>
            <w:rPr>
              <w:rFonts w:ascii="Garamond" w:eastAsiaTheme="minorEastAsia" w:hAnsi="Garamond"/>
              <w:smallCaps w:val="0"/>
              <w:noProof/>
              <w:sz w:val="24"/>
              <w:szCs w:val="24"/>
            </w:rPr>
          </w:pPr>
          <w:hyperlink w:anchor="_Toc66731783" w:history="1">
            <w:r w:rsidR="00885037" w:rsidRPr="00885037">
              <w:rPr>
                <w:rStyle w:val="Hyperlink"/>
                <w:rFonts w:ascii="Garamond" w:hAnsi="Garamond"/>
                <w:noProof/>
              </w:rPr>
              <w:t>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Wilsonianism and the Post World War I Middle East</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_Toc66731783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16</w:t>
            </w:r>
            <w:r w:rsidR="00885037" w:rsidRPr="00885037">
              <w:rPr>
                <w:rFonts w:ascii="Garamond" w:hAnsi="Garamond"/>
                <w:noProof/>
                <w:webHidden/>
              </w:rPr>
              <w:fldChar w:fldCharType="end"/>
            </w:r>
          </w:hyperlink>
        </w:p>
        <w:p w14:paraId="1453A7D5" w14:textId="0471F245" w:rsidR="00885037" w:rsidRPr="00885037" w:rsidRDefault="009B18F2">
          <w:pPr>
            <w:pStyle w:val="TOC2"/>
            <w:tabs>
              <w:tab w:val="left" w:pos="720"/>
              <w:tab w:val="right" w:pos="9350"/>
            </w:tabs>
            <w:rPr>
              <w:rFonts w:ascii="Garamond" w:eastAsiaTheme="minorEastAsia" w:hAnsi="Garamond"/>
              <w:smallCaps w:val="0"/>
              <w:noProof/>
              <w:sz w:val="24"/>
              <w:szCs w:val="24"/>
            </w:rPr>
          </w:pPr>
          <w:hyperlink w:anchor="_Toc66731784" w:history="1">
            <w:r w:rsidR="00885037" w:rsidRPr="00885037">
              <w:rPr>
                <w:rStyle w:val="Hyperlink"/>
                <w:rFonts w:ascii="Garamond" w:hAnsi="Garamond"/>
                <w:noProof/>
              </w:rPr>
              <w:t>II.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The K.C.C.</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_Toc66731784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17</w:t>
            </w:r>
            <w:r w:rsidR="00885037" w:rsidRPr="00885037">
              <w:rPr>
                <w:rFonts w:ascii="Garamond" w:hAnsi="Garamond"/>
                <w:noProof/>
                <w:webHidden/>
              </w:rPr>
              <w:fldChar w:fldCharType="end"/>
            </w:r>
          </w:hyperlink>
        </w:p>
        <w:p w14:paraId="685A5D8F" w14:textId="208DA01F" w:rsidR="00885037" w:rsidRPr="00885037" w:rsidRDefault="009B18F2">
          <w:pPr>
            <w:pStyle w:val="TOC2"/>
            <w:tabs>
              <w:tab w:val="left" w:pos="960"/>
              <w:tab w:val="right" w:pos="9350"/>
            </w:tabs>
            <w:rPr>
              <w:rFonts w:ascii="Garamond" w:eastAsiaTheme="minorEastAsia" w:hAnsi="Garamond"/>
              <w:smallCaps w:val="0"/>
              <w:noProof/>
              <w:sz w:val="24"/>
              <w:szCs w:val="24"/>
            </w:rPr>
          </w:pPr>
          <w:hyperlink w:anchor="_Toc66731785" w:history="1">
            <w:r w:rsidR="00885037" w:rsidRPr="00885037">
              <w:rPr>
                <w:rStyle w:val="Hyperlink"/>
                <w:rFonts w:ascii="Garamond" w:hAnsi="Garamond"/>
                <w:noProof/>
              </w:rPr>
              <w:t>III.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Oil and the King – Crane Commission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_Toc66731785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21</w:t>
            </w:r>
            <w:r w:rsidR="00885037" w:rsidRPr="00885037">
              <w:rPr>
                <w:rFonts w:ascii="Garamond" w:hAnsi="Garamond"/>
                <w:noProof/>
                <w:webHidden/>
              </w:rPr>
              <w:fldChar w:fldCharType="end"/>
            </w:r>
          </w:hyperlink>
        </w:p>
        <w:p w14:paraId="6DC42637" w14:textId="63674F19" w:rsidR="00885037" w:rsidRPr="00885037" w:rsidRDefault="009B18F2">
          <w:pPr>
            <w:pStyle w:val="TOC1"/>
            <w:tabs>
              <w:tab w:val="left" w:pos="720"/>
              <w:tab w:val="right" w:pos="9350"/>
            </w:tabs>
            <w:rPr>
              <w:rFonts w:ascii="Garamond" w:eastAsiaTheme="minorEastAsia" w:hAnsi="Garamond"/>
              <w:b w:val="0"/>
              <w:bCs w:val="0"/>
              <w:caps w:val="0"/>
              <w:noProof/>
              <w:sz w:val="24"/>
              <w:szCs w:val="24"/>
            </w:rPr>
          </w:pPr>
          <w:hyperlink w:anchor="_Toc66731790" w:history="1">
            <w:r w:rsidR="00885037" w:rsidRPr="00885037">
              <w:rPr>
                <w:rStyle w:val="Hyperlink"/>
                <w:rFonts w:ascii="Garamond" w:hAnsi="Garamond"/>
                <w:noProof/>
                <w:lang w:bidi="en-US"/>
              </w:rPr>
              <w:t>IV.</w:t>
            </w:r>
            <w:r w:rsidR="00885037" w:rsidRPr="00885037">
              <w:rPr>
                <w:rFonts w:ascii="Garamond" w:eastAsiaTheme="minorEastAsia" w:hAnsi="Garamond"/>
                <w:b w:val="0"/>
                <w:bCs w:val="0"/>
                <w:caps w:val="0"/>
                <w:noProof/>
                <w:sz w:val="24"/>
                <w:szCs w:val="24"/>
              </w:rPr>
              <w:tab/>
            </w:r>
            <w:r w:rsidR="00885037" w:rsidRPr="00885037">
              <w:rPr>
                <w:rStyle w:val="Hyperlink"/>
                <w:rFonts w:ascii="Garamond" w:hAnsi="Garamond"/>
                <w:noProof/>
                <w:lang w:bidi="en-US"/>
              </w:rPr>
              <w:t>Findings</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_Toc66731790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22</w:t>
            </w:r>
            <w:r w:rsidR="00885037" w:rsidRPr="00885037">
              <w:rPr>
                <w:rFonts w:ascii="Garamond" w:hAnsi="Garamond"/>
                <w:noProof/>
                <w:webHidden/>
              </w:rPr>
              <w:fldChar w:fldCharType="end"/>
            </w:r>
          </w:hyperlink>
        </w:p>
        <w:p w14:paraId="18FB0212" w14:textId="3CA37FEC" w:rsidR="00885037" w:rsidRPr="00885037" w:rsidRDefault="009B18F2">
          <w:pPr>
            <w:pStyle w:val="TOC2"/>
            <w:tabs>
              <w:tab w:val="left" w:pos="720"/>
              <w:tab w:val="right" w:pos="9350"/>
            </w:tabs>
            <w:rPr>
              <w:rFonts w:ascii="Garamond" w:eastAsiaTheme="minorEastAsia" w:hAnsi="Garamond"/>
              <w:smallCaps w:val="0"/>
              <w:noProof/>
              <w:sz w:val="24"/>
              <w:szCs w:val="24"/>
            </w:rPr>
          </w:pPr>
          <w:hyperlink w:anchor="_Toc66731791" w:history="1">
            <w:r w:rsidR="00885037" w:rsidRPr="00885037">
              <w:rPr>
                <w:rStyle w:val="Hyperlink"/>
                <w:rFonts w:ascii="Garamond" w:hAnsi="Garamond"/>
                <w:noProof/>
              </w:rPr>
              <w:t>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K.C.C. Chronology with Oil</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_Toc66731791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22</w:t>
            </w:r>
            <w:r w:rsidR="00885037" w:rsidRPr="00885037">
              <w:rPr>
                <w:rFonts w:ascii="Garamond" w:hAnsi="Garamond"/>
                <w:noProof/>
                <w:webHidden/>
              </w:rPr>
              <w:fldChar w:fldCharType="end"/>
            </w:r>
          </w:hyperlink>
        </w:p>
        <w:p w14:paraId="708B2A34" w14:textId="7D25F40A"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792" w:history="1">
            <w:r w:rsidR="00885037" w:rsidRPr="00885037">
              <w:rPr>
                <w:rStyle w:val="Hyperlink"/>
                <w:rFonts w:ascii="Garamond" w:hAnsi="Garamond"/>
                <w:noProof/>
              </w:rPr>
              <w:t>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William Westermann and the Nucleus of the K.C.C.</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_Toc66731792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22</w:t>
            </w:r>
            <w:r w:rsidR="00885037" w:rsidRPr="00885037">
              <w:rPr>
                <w:rFonts w:ascii="Garamond" w:hAnsi="Garamond"/>
                <w:noProof/>
                <w:webHidden/>
              </w:rPr>
              <w:fldChar w:fldCharType="end"/>
            </w:r>
          </w:hyperlink>
        </w:p>
        <w:p w14:paraId="25DEF98A" w14:textId="4D78D42B"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793" w:history="1">
            <w:r w:rsidR="00885037" w:rsidRPr="00885037">
              <w:rPr>
                <w:rStyle w:val="Hyperlink"/>
                <w:rFonts w:ascii="Garamond" w:hAnsi="Garamond"/>
                <w:noProof/>
              </w:rPr>
              <w:t>II.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April 1919: Yale’s Meeting with Picot</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_Toc66731793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24</w:t>
            </w:r>
            <w:r w:rsidR="00885037" w:rsidRPr="00885037">
              <w:rPr>
                <w:rFonts w:ascii="Garamond" w:hAnsi="Garamond"/>
                <w:noProof/>
                <w:webHidden/>
              </w:rPr>
              <w:fldChar w:fldCharType="end"/>
            </w:r>
          </w:hyperlink>
        </w:p>
        <w:p w14:paraId="7617E54B" w14:textId="39AFF24E"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794" w:history="1">
            <w:r w:rsidR="00885037" w:rsidRPr="00885037">
              <w:rPr>
                <w:rStyle w:val="Hyperlink"/>
                <w:rFonts w:ascii="Garamond" w:hAnsi="Garamond"/>
                <w:noProof/>
              </w:rPr>
              <w:t>III.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May 1919: Yale’s Early Oil Memoranda</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_Toc66731794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25</w:t>
            </w:r>
            <w:r w:rsidR="00885037" w:rsidRPr="00885037">
              <w:rPr>
                <w:rFonts w:ascii="Garamond" w:hAnsi="Garamond"/>
                <w:noProof/>
                <w:webHidden/>
              </w:rPr>
              <w:fldChar w:fldCharType="end"/>
            </w:r>
          </w:hyperlink>
        </w:p>
        <w:p w14:paraId="0DC45700" w14:textId="26FB3A4A" w:rsidR="00885037" w:rsidRPr="00885037" w:rsidRDefault="009B18F2">
          <w:pPr>
            <w:pStyle w:val="TOC3"/>
            <w:tabs>
              <w:tab w:val="left" w:pos="1200"/>
              <w:tab w:val="right" w:pos="9350"/>
            </w:tabs>
            <w:rPr>
              <w:rFonts w:ascii="Garamond" w:eastAsiaTheme="minorEastAsia" w:hAnsi="Garamond"/>
              <w:i w:val="0"/>
              <w:iCs w:val="0"/>
              <w:noProof/>
              <w:sz w:val="24"/>
              <w:szCs w:val="24"/>
            </w:rPr>
          </w:pPr>
          <w:hyperlink w:anchor="_Toc66731795" w:history="1">
            <w:r w:rsidR="00885037" w:rsidRPr="00885037">
              <w:rPr>
                <w:rStyle w:val="Hyperlink"/>
                <w:rFonts w:ascii="Garamond" w:hAnsi="Garamond"/>
                <w:noProof/>
              </w:rPr>
              <w:t>IV.</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May 1919: The Dangers of the Selfish Exploitation of the Turkish Empire</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_Toc66731795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28</w:t>
            </w:r>
            <w:r w:rsidR="00885037" w:rsidRPr="00885037">
              <w:rPr>
                <w:rFonts w:ascii="Garamond" w:hAnsi="Garamond"/>
                <w:noProof/>
                <w:webHidden/>
              </w:rPr>
              <w:fldChar w:fldCharType="end"/>
            </w:r>
          </w:hyperlink>
        </w:p>
        <w:p w14:paraId="404A4C14" w14:textId="35A311BF"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796" w:history="1">
            <w:r w:rsidR="00885037" w:rsidRPr="00885037">
              <w:rPr>
                <w:rStyle w:val="Hyperlink"/>
                <w:rFonts w:ascii="Garamond" w:hAnsi="Garamond"/>
                <w:noProof/>
              </w:rPr>
              <w:t>V.</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Introduction of Standard Oil of New York</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_Toc66731796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29</w:t>
            </w:r>
            <w:r w:rsidR="00885037" w:rsidRPr="00885037">
              <w:rPr>
                <w:rFonts w:ascii="Garamond" w:hAnsi="Garamond"/>
                <w:noProof/>
                <w:webHidden/>
              </w:rPr>
              <w:fldChar w:fldCharType="end"/>
            </w:r>
          </w:hyperlink>
        </w:p>
        <w:p w14:paraId="7D557421" w14:textId="736040E1" w:rsidR="00885037" w:rsidRPr="00885037" w:rsidRDefault="009B18F2">
          <w:pPr>
            <w:pStyle w:val="TOC3"/>
            <w:tabs>
              <w:tab w:val="left" w:pos="1200"/>
              <w:tab w:val="right" w:pos="9350"/>
            </w:tabs>
            <w:rPr>
              <w:rFonts w:ascii="Garamond" w:eastAsiaTheme="minorEastAsia" w:hAnsi="Garamond"/>
              <w:i w:val="0"/>
              <w:iCs w:val="0"/>
              <w:noProof/>
              <w:sz w:val="24"/>
              <w:szCs w:val="24"/>
            </w:rPr>
          </w:pPr>
          <w:hyperlink w:anchor="_Toc66731797" w:history="1">
            <w:r w:rsidR="00885037" w:rsidRPr="00885037">
              <w:rPr>
                <w:rStyle w:val="Hyperlink"/>
                <w:rFonts w:ascii="Garamond" w:hAnsi="Garamond"/>
                <w:noProof/>
              </w:rPr>
              <w:t>VI.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Lybyer, King and “Oil”</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_Toc66731797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31</w:t>
            </w:r>
            <w:r w:rsidR="00885037" w:rsidRPr="00885037">
              <w:rPr>
                <w:rFonts w:ascii="Garamond" w:hAnsi="Garamond"/>
                <w:noProof/>
                <w:webHidden/>
              </w:rPr>
              <w:fldChar w:fldCharType="end"/>
            </w:r>
          </w:hyperlink>
        </w:p>
        <w:p w14:paraId="52550029" w14:textId="5914B3A4" w:rsidR="00885037" w:rsidRPr="00885037" w:rsidRDefault="009B18F2">
          <w:pPr>
            <w:pStyle w:val="TOC3"/>
            <w:tabs>
              <w:tab w:val="left" w:pos="1200"/>
              <w:tab w:val="right" w:pos="9350"/>
            </w:tabs>
            <w:rPr>
              <w:rFonts w:ascii="Garamond" w:eastAsiaTheme="minorEastAsia" w:hAnsi="Garamond"/>
              <w:i w:val="0"/>
              <w:iCs w:val="0"/>
              <w:noProof/>
              <w:sz w:val="24"/>
              <w:szCs w:val="24"/>
            </w:rPr>
          </w:pPr>
          <w:hyperlink w:anchor="_Toc66731799" w:history="1">
            <w:r w:rsidR="00885037" w:rsidRPr="00885037">
              <w:rPr>
                <w:rStyle w:val="Hyperlink"/>
                <w:rFonts w:ascii="Garamond" w:hAnsi="Garamond"/>
                <w:noProof/>
              </w:rPr>
              <w:t>VII.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Crane’s Letter to Wilson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_Toc66731799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31</w:t>
            </w:r>
            <w:r w:rsidR="00885037" w:rsidRPr="00885037">
              <w:rPr>
                <w:rFonts w:ascii="Garamond" w:hAnsi="Garamond"/>
                <w:noProof/>
                <w:webHidden/>
              </w:rPr>
              <w:fldChar w:fldCharType="end"/>
            </w:r>
          </w:hyperlink>
        </w:p>
        <w:p w14:paraId="21F40D92" w14:textId="303A87F4" w:rsidR="00885037" w:rsidRPr="00885037" w:rsidRDefault="009B18F2">
          <w:pPr>
            <w:pStyle w:val="TOC3"/>
            <w:tabs>
              <w:tab w:val="left" w:pos="1200"/>
              <w:tab w:val="right" w:pos="9350"/>
            </w:tabs>
            <w:rPr>
              <w:rFonts w:ascii="Garamond" w:eastAsiaTheme="minorEastAsia" w:hAnsi="Garamond"/>
              <w:i w:val="0"/>
              <w:iCs w:val="0"/>
              <w:noProof/>
              <w:sz w:val="24"/>
              <w:szCs w:val="24"/>
            </w:rPr>
          </w:pPr>
          <w:hyperlink w:anchor="_Toc66731800" w:history="1">
            <w:r w:rsidR="00885037" w:rsidRPr="00885037">
              <w:rPr>
                <w:rStyle w:val="Hyperlink"/>
                <w:rFonts w:ascii="Garamond" w:hAnsi="Garamond"/>
                <w:noProof/>
              </w:rPr>
              <w:t>VIII.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The Return to Paris and Standard Oil</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_Toc66731800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32</w:t>
            </w:r>
            <w:r w:rsidR="00885037" w:rsidRPr="00885037">
              <w:rPr>
                <w:rFonts w:ascii="Garamond" w:hAnsi="Garamond"/>
                <w:noProof/>
                <w:webHidden/>
              </w:rPr>
              <w:fldChar w:fldCharType="end"/>
            </w:r>
          </w:hyperlink>
        </w:p>
        <w:p w14:paraId="2AB96A5D" w14:textId="38779477" w:rsidR="00885037" w:rsidRPr="00885037" w:rsidRDefault="009B18F2">
          <w:pPr>
            <w:pStyle w:val="TOC2"/>
            <w:tabs>
              <w:tab w:val="left" w:pos="720"/>
              <w:tab w:val="right" w:pos="9350"/>
            </w:tabs>
            <w:rPr>
              <w:rFonts w:ascii="Garamond" w:eastAsiaTheme="minorEastAsia" w:hAnsi="Garamond"/>
              <w:smallCaps w:val="0"/>
              <w:noProof/>
              <w:sz w:val="24"/>
              <w:szCs w:val="24"/>
            </w:rPr>
          </w:pPr>
          <w:hyperlink w:anchor="_Toc66731801" w:history="1">
            <w:r w:rsidR="00885037" w:rsidRPr="00885037">
              <w:rPr>
                <w:rStyle w:val="Hyperlink"/>
                <w:rFonts w:ascii="Garamond" w:hAnsi="Garamond"/>
                <w:noProof/>
              </w:rPr>
              <w:t>II.</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The Facilitators of the Open – Door</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_Toc66731801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34</w:t>
            </w:r>
            <w:r w:rsidR="00885037" w:rsidRPr="00885037">
              <w:rPr>
                <w:rFonts w:ascii="Garamond" w:hAnsi="Garamond"/>
                <w:noProof/>
                <w:webHidden/>
              </w:rPr>
              <w:fldChar w:fldCharType="end"/>
            </w:r>
          </w:hyperlink>
        </w:p>
        <w:p w14:paraId="263240D6" w14:textId="6E632C24"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802" w:history="1">
            <w:r w:rsidR="00885037" w:rsidRPr="00885037">
              <w:rPr>
                <w:rStyle w:val="Hyperlink"/>
                <w:rFonts w:ascii="Garamond" w:hAnsi="Garamond"/>
                <w:noProof/>
              </w:rPr>
              <w:t>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Thomas and Yale</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_Toc66731802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34</w:t>
            </w:r>
            <w:r w:rsidR="00885037" w:rsidRPr="00885037">
              <w:rPr>
                <w:rFonts w:ascii="Garamond" w:hAnsi="Garamond"/>
                <w:noProof/>
                <w:webHidden/>
              </w:rPr>
              <w:fldChar w:fldCharType="end"/>
            </w:r>
          </w:hyperlink>
        </w:p>
        <w:p w14:paraId="70EE1D6B" w14:textId="77681712"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803" w:history="1">
            <w:r w:rsidR="00885037" w:rsidRPr="00885037">
              <w:rPr>
                <w:rStyle w:val="Hyperlink"/>
                <w:rFonts w:ascii="Garamond" w:hAnsi="Garamond"/>
                <w:noProof/>
              </w:rPr>
              <w:t>II.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Bristol, Thomas and the K.C.C.</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_Toc66731803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35</w:t>
            </w:r>
            <w:r w:rsidR="00885037" w:rsidRPr="00885037">
              <w:rPr>
                <w:rFonts w:ascii="Garamond" w:hAnsi="Garamond"/>
                <w:noProof/>
                <w:webHidden/>
              </w:rPr>
              <w:fldChar w:fldCharType="end"/>
            </w:r>
          </w:hyperlink>
        </w:p>
        <w:p w14:paraId="79EB7D3D" w14:textId="1F5144B4"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804" w:history="1">
            <w:r w:rsidR="00885037" w:rsidRPr="00885037">
              <w:rPr>
                <w:rStyle w:val="Hyperlink"/>
                <w:rFonts w:ascii="Garamond" w:hAnsi="Garamond"/>
                <w:noProof/>
              </w:rPr>
              <w:t>III.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SOCONY, The State Department, and Yale</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_Toc66731804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38</w:t>
            </w:r>
            <w:r w:rsidR="00885037" w:rsidRPr="00885037">
              <w:rPr>
                <w:rFonts w:ascii="Garamond" w:hAnsi="Garamond"/>
                <w:noProof/>
                <w:webHidden/>
              </w:rPr>
              <w:fldChar w:fldCharType="end"/>
            </w:r>
          </w:hyperlink>
        </w:p>
        <w:p w14:paraId="5A30989A" w14:textId="67B3E449" w:rsidR="00885037" w:rsidRPr="00885037" w:rsidRDefault="009B18F2">
          <w:pPr>
            <w:pStyle w:val="TOC2"/>
            <w:tabs>
              <w:tab w:val="left" w:pos="960"/>
              <w:tab w:val="right" w:pos="9350"/>
            </w:tabs>
            <w:rPr>
              <w:rFonts w:ascii="Garamond" w:eastAsiaTheme="minorEastAsia" w:hAnsi="Garamond"/>
              <w:smallCaps w:val="0"/>
              <w:noProof/>
              <w:sz w:val="24"/>
              <w:szCs w:val="24"/>
            </w:rPr>
          </w:pPr>
          <w:hyperlink w:anchor="_Toc66731805" w:history="1">
            <w:r w:rsidR="00885037" w:rsidRPr="00885037">
              <w:rPr>
                <w:rStyle w:val="Hyperlink"/>
                <w:rFonts w:ascii="Garamond" w:eastAsia="Times New Roman" w:hAnsi="Garamond"/>
                <w:noProof/>
              </w:rPr>
              <w:t>III.</w:t>
            </w:r>
            <w:r w:rsidR="00885037" w:rsidRPr="00885037">
              <w:rPr>
                <w:rFonts w:ascii="Garamond" w:eastAsiaTheme="minorEastAsia" w:hAnsi="Garamond"/>
                <w:smallCaps w:val="0"/>
                <w:noProof/>
                <w:sz w:val="24"/>
                <w:szCs w:val="24"/>
              </w:rPr>
              <w:tab/>
            </w:r>
            <w:r w:rsidR="00885037" w:rsidRPr="00885037">
              <w:rPr>
                <w:rStyle w:val="Hyperlink"/>
                <w:rFonts w:ascii="Garamond" w:eastAsia="Times New Roman" w:hAnsi="Garamond"/>
                <w:noProof/>
                <w:shd w:val="clear" w:color="auto" w:fill="FFFFFF"/>
              </w:rPr>
              <w:t>Yale’s Activities in London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_Toc66731805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42</w:t>
            </w:r>
            <w:r w:rsidR="00885037" w:rsidRPr="00885037">
              <w:rPr>
                <w:rFonts w:ascii="Garamond" w:hAnsi="Garamond"/>
                <w:noProof/>
                <w:webHidden/>
              </w:rPr>
              <w:fldChar w:fldCharType="end"/>
            </w:r>
          </w:hyperlink>
        </w:p>
        <w:p w14:paraId="155B2723" w14:textId="32108901"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806" w:history="1">
            <w:r w:rsidR="00885037" w:rsidRPr="00885037">
              <w:rPr>
                <w:rStyle w:val="Hyperlink"/>
                <w:rFonts w:ascii="Garamond" w:eastAsia="Times New Roman" w:hAnsi="Garamond"/>
                <w:noProof/>
              </w:rPr>
              <w:t>I.</w:t>
            </w:r>
            <w:r w:rsidR="00885037" w:rsidRPr="00885037">
              <w:rPr>
                <w:rFonts w:ascii="Garamond" w:eastAsiaTheme="minorEastAsia" w:hAnsi="Garamond"/>
                <w:i w:val="0"/>
                <w:iCs w:val="0"/>
                <w:noProof/>
                <w:sz w:val="24"/>
                <w:szCs w:val="24"/>
              </w:rPr>
              <w:tab/>
            </w:r>
            <w:r w:rsidR="00885037" w:rsidRPr="00885037">
              <w:rPr>
                <w:rStyle w:val="Hyperlink"/>
                <w:rFonts w:ascii="Garamond" w:eastAsia="Times New Roman" w:hAnsi="Garamond"/>
                <w:noProof/>
                <w:shd w:val="clear" w:color="auto" w:fill="FFFFFF"/>
              </w:rPr>
              <w:t>The Phillips – Polk – Davis Correspondence</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_Toc66731806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42</w:t>
            </w:r>
            <w:r w:rsidR="00885037" w:rsidRPr="00885037">
              <w:rPr>
                <w:rFonts w:ascii="Garamond" w:hAnsi="Garamond"/>
                <w:noProof/>
                <w:webHidden/>
              </w:rPr>
              <w:fldChar w:fldCharType="end"/>
            </w:r>
          </w:hyperlink>
        </w:p>
        <w:p w14:paraId="64F91F5D" w14:textId="3D765653"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807" w:history="1">
            <w:r w:rsidR="00885037" w:rsidRPr="00885037">
              <w:rPr>
                <w:rStyle w:val="Hyperlink"/>
                <w:rFonts w:ascii="Garamond" w:eastAsia="Times New Roman" w:hAnsi="Garamond"/>
                <w:noProof/>
              </w:rPr>
              <w:t>II.</w:t>
            </w:r>
            <w:r w:rsidR="00885037" w:rsidRPr="00885037">
              <w:rPr>
                <w:rFonts w:ascii="Garamond" w:eastAsiaTheme="minorEastAsia" w:hAnsi="Garamond"/>
                <w:i w:val="0"/>
                <w:iCs w:val="0"/>
                <w:noProof/>
                <w:sz w:val="24"/>
                <w:szCs w:val="24"/>
              </w:rPr>
              <w:tab/>
            </w:r>
            <w:r w:rsidR="00885037" w:rsidRPr="00885037">
              <w:rPr>
                <w:rStyle w:val="Hyperlink"/>
                <w:rFonts w:ascii="Garamond" w:eastAsia="Times New Roman" w:hAnsi="Garamond"/>
                <w:noProof/>
                <w:shd w:val="clear" w:color="auto" w:fill="FFFFFF"/>
              </w:rPr>
              <w:t>Yale’s Meetings</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_Toc66731807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44</w:t>
            </w:r>
            <w:r w:rsidR="00885037" w:rsidRPr="00885037">
              <w:rPr>
                <w:rFonts w:ascii="Garamond" w:hAnsi="Garamond"/>
                <w:noProof/>
                <w:webHidden/>
              </w:rPr>
              <w:fldChar w:fldCharType="end"/>
            </w:r>
          </w:hyperlink>
        </w:p>
        <w:p w14:paraId="44350EB9" w14:textId="422DFCC8" w:rsidR="00885037" w:rsidRPr="00885037" w:rsidRDefault="009B18F2">
          <w:pPr>
            <w:pStyle w:val="TOC2"/>
            <w:tabs>
              <w:tab w:val="left" w:pos="960"/>
              <w:tab w:val="right" w:pos="9350"/>
            </w:tabs>
            <w:rPr>
              <w:rFonts w:ascii="Garamond" w:eastAsiaTheme="minorEastAsia" w:hAnsi="Garamond"/>
              <w:smallCaps w:val="0"/>
              <w:noProof/>
              <w:sz w:val="24"/>
              <w:szCs w:val="24"/>
            </w:rPr>
          </w:pPr>
          <w:hyperlink w:anchor="_Toc66731808" w:history="1">
            <w:r w:rsidR="00885037" w:rsidRPr="00885037">
              <w:rPr>
                <w:rStyle w:val="Hyperlink"/>
                <w:rFonts w:ascii="Garamond" w:hAnsi="Garamond"/>
                <w:noProof/>
              </w:rPr>
              <w:t>IV.</w:t>
            </w:r>
            <w:r w:rsidR="00885037" w:rsidRPr="00885037">
              <w:rPr>
                <w:rFonts w:ascii="Garamond" w:eastAsiaTheme="minorEastAsia" w:hAnsi="Garamond"/>
                <w:smallCaps w:val="0"/>
                <w:noProof/>
                <w:sz w:val="24"/>
                <w:szCs w:val="24"/>
              </w:rPr>
              <w:tab/>
            </w:r>
            <w:r w:rsidR="00885037" w:rsidRPr="00885037">
              <w:rPr>
                <w:rStyle w:val="Hyperlink"/>
                <w:rFonts w:ascii="Garamond" w:hAnsi="Garamond"/>
                <w:noProof/>
              </w:rPr>
              <w:t>The Mesopotamian Oil Question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_Toc66731808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46</w:t>
            </w:r>
            <w:r w:rsidR="00885037" w:rsidRPr="00885037">
              <w:rPr>
                <w:rFonts w:ascii="Garamond" w:hAnsi="Garamond"/>
                <w:noProof/>
                <w:webHidden/>
              </w:rPr>
              <w:fldChar w:fldCharType="end"/>
            </w:r>
          </w:hyperlink>
        </w:p>
        <w:p w14:paraId="4282A42D" w14:textId="775AB65C"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809" w:history="1">
            <w:r w:rsidR="00885037" w:rsidRPr="00885037">
              <w:rPr>
                <w:rStyle w:val="Hyperlink"/>
                <w:rFonts w:ascii="Garamond" w:hAnsi="Garamond"/>
                <w:noProof/>
              </w:rPr>
              <w:t>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Probability of Oil</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_Toc66731809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47</w:t>
            </w:r>
            <w:r w:rsidR="00885037" w:rsidRPr="00885037">
              <w:rPr>
                <w:rFonts w:ascii="Garamond" w:hAnsi="Garamond"/>
                <w:noProof/>
                <w:webHidden/>
              </w:rPr>
              <w:fldChar w:fldCharType="end"/>
            </w:r>
          </w:hyperlink>
        </w:p>
        <w:p w14:paraId="28E12B70" w14:textId="421154A4"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810" w:history="1">
            <w:r w:rsidR="00885037" w:rsidRPr="00885037">
              <w:rPr>
                <w:rStyle w:val="Hyperlink"/>
                <w:rFonts w:ascii="Garamond" w:hAnsi="Garamond"/>
                <w:noProof/>
              </w:rPr>
              <w:t>II.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British Activities</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_Toc66731810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47</w:t>
            </w:r>
            <w:r w:rsidR="00885037" w:rsidRPr="00885037">
              <w:rPr>
                <w:rFonts w:ascii="Garamond" w:hAnsi="Garamond"/>
                <w:noProof/>
                <w:webHidden/>
              </w:rPr>
              <w:fldChar w:fldCharType="end"/>
            </w:r>
          </w:hyperlink>
        </w:p>
        <w:p w14:paraId="614C4067" w14:textId="47C38402"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811" w:history="1">
            <w:r w:rsidR="00885037" w:rsidRPr="00885037">
              <w:rPr>
                <w:rStyle w:val="Hyperlink"/>
                <w:rFonts w:ascii="Garamond" w:hAnsi="Garamond"/>
                <w:noProof/>
              </w:rPr>
              <w:t>III.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Importance to American Oil Interests Commercially</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_Toc66731811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48</w:t>
            </w:r>
            <w:r w:rsidR="00885037" w:rsidRPr="00885037">
              <w:rPr>
                <w:rFonts w:ascii="Garamond" w:hAnsi="Garamond"/>
                <w:noProof/>
                <w:webHidden/>
              </w:rPr>
              <w:fldChar w:fldCharType="end"/>
            </w:r>
          </w:hyperlink>
        </w:p>
        <w:p w14:paraId="454F8BA8" w14:textId="05CC09CB" w:rsidR="00885037" w:rsidRPr="00885037" w:rsidRDefault="009B18F2">
          <w:pPr>
            <w:pStyle w:val="TOC3"/>
            <w:tabs>
              <w:tab w:val="left" w:pos="1200"/>
              <w:tab w:val="right" w:pos="9350"/>
            </w:tabs>
            <w:rPr>
              <w:rFonts w:ascii="Garamond" w:eastAsiaTheme="minorEastAsia" w:hAnsi="Garamond"/>
              <w:i w:val="0"/>
              <w:iCs w:val="0"/>
              <w:noProof/>
              <w:sz w:val="24"/>
              <w:szCs w:val="24"/>
            </w:rPr>
          </w:pPr>
          <w:hyperlink w:anchor="_Toc66731813" w:history="1">
            <w:r w:rsidR="00885037" w:rsidRPr="00885037">
              <w:rPr>
                <w:rStyle w:val="Hyperlink"/>
                <w:rFonts w:ascii="Garamond" w:hAnsi="Garamond"/>
                <w:noProof/>
              </w:rPr>
              <w:t>IV.</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A Solution to the Mesopotamian Oil Question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_Toc66731813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49</w:t>
            </w:r>
            <w:r w:rsidR="00885037" w:rsidRPr="00885037">
              <w:rPr>
                <w:rFonts w:ascii="Garamond" w:hAnsi="Garamond"/>
                <w:noProof/>
                <w:webHidden/>
              </w:rPr>
              <w:fldChar w:fldCharType="end"/>
            </w:r>
          </w:hyperlink>
        </w:p>
        <w:p w14:paraId="17AD7683" w14:textId="55306C66" w:rsidR="00885037" w:rsidRPr="00885037" w:rsidRDefault="009B18F2">
          <w:pPr>
            <w:pStyle w:val="TOC3"/>
            <w:tabs>
              <w:tab w:val="left" w:pos="960"/>
              <w:tab w:val="right" w:pos="9350"/>
            </w:tabs>
            <w:rPr>
              <w:rFonts w:ascii="Garamond" w:eastAsiaTheme="minorEastAsia" w:hAnsi="Garamond"/>
              <w:i w:val="0"/>
              <w:iCs w:val="0"/>
              <w:noProof/>
              <w:sz w:val="24"/>
              <w:szCs w:val="24"/>
            </w:rPr>
          </w:pPr>
          <w:hyperlink w:anchor="_Toc66731814" w:history="1">
            <w:r w:rsidR="00885037" w:rsidRPr="00885037">
              <w:rPr>
                <w:rStyle w:val="Hyperlink"/>
                <w:rFonts w:ascii="Garamond" w:hAnsi="Garamond"/>
                <w:noProof/>
              </w:rPr>
              <w:t>V.</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Buckler and “The Position of the Syrian Question Today”</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_Toc66731814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51</w:t>
            </w:r>
            <w:r w:rsidR="00885037" w:rsidRPr="00885037">
              <w:rPr>
                <w:rFonts w:ascii="Garamond" w:hAnsi="Garamond"/>
                <w:noProof/>
                <w:webHidden/>
              </w:rPr>
              <w:fldChar w:fldCharType="end"/>
            </w:r>
          </w:hyperlink>
        </w:p>
        <w:p w14:paraId="74A84831" w14:textId="5883EBE3" w:rsidR="00885037" w:rsidRPr="00885037" w:rsidRDefault="009B18F2">
          <w:pPr>
            <w:pStyle w:val="TOC3"/>
            <w:tabs>
              <w:tab w:val="left" w:pos="1200"/>
              <w:tab w:val="right" w:pos="9350"/>
            </w:tabs>
            <w:rPr>
              <w:rFonts w:ascii="Garamond" w:eastAsiaTheme="minorEastAsia" w:hAnsi="Garamond"/>
              <w:i w:val="0"/>
              <w:iCs w:val="0"/>
              <w:noProof/>
              <w:sz w:val="24"/>
              <w:szCs w:val="24"/>
            </w:rPr>
          </w:pPr>
          <w:hyperlink w:anchor="_Toc66731815" w:history="1">
            <w:r w:rsidR="00885037" w:rsidRPr="00885037">
              <w:rPr>
                <w:rStyle w:val="Hyperlink"/>
                <w:rFonts w:ascii="Garamond" w:hAnsi="Garamond"/>
                <w:noProof/>
              </w:rPr>
              <w:t>VI.</w:t>
            </w:r>
            <w:r w:rsidR="00885037" w:rsidRPr="00885037">
              <w:rPr>
                <w:rFonts w:ascii="Garamond" w:eastAsiaTheme="minorEastAsia" w:hAnsi="Garamond"/>
                <w:i w:val="0"/>
                <w:iCs w:val="0"/>
                <w:noProof/>
                <w:sz w:val="24"/>
                <w:szCs w:val="24"/>
              </w:rPr>
              <w:tab/>
            </w:r>
            <w:r w:rsidR="00885037" w:rsidRPr="00885037">
              <w:rPr>
                <w:rStyle w:val="Hyperlink"/>
                <w:rFonts w:ascii="Garamond" w:hAnsi="Garamond"/>
                <w:noProof/>
              </w:rPr>
              <w:t>Davis’s Letter</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_Toc66731815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53</w:t>
            </w:r>
            <w:r w:rsidR="00885037" w:rsidRPr="00885037">
              <w:rPr>
                <w:rFonts w:ascii="Garamond" w:hAnsi="Garamond"/>
                <w:noProof/>
                <w:webHidden/>
              </w:rPr>
              <w:fldChar w:fldCharType="end"/>
            </w:r>
          </w:hyperlink>
        </w:p>
        <w:p w14:paraId="76E68060" w14:textId="7C40EAFB" w:rsidR="00885037" w:rsidRPr="00885037" w:rsidRDefault="009B18F2">
          <w:pPr>
            <w:pStyle w:val="TOC1"/>
            <w:tabs>
              <w:tab w:val="right" w:pos="9350"/>
            </w:tabs>
            <w:rPr>
              <w:rFonts w:ascii="Garamond" w:eastAsiaTheme="minorEastAsia" w:hAnsi="Garamond"/>
              <w:b w:val="0"/>
              <w:bCs w:val="0"/>
              <w:caps w:val="0"/>
              <w:noProof/>
              <w:sz w:val="24"/>
              <w:szCs w:val="24"/>
            </w:rPr>
          </w:pPr>
          <w:hyperlink w:anchor="_Toc66731816" w:history="1">
            <w:r w:rsidR="00885037" w:rsidRPr="00885037">
              <w:rPr>
                <w:rStyle w:val="Hyperlink"/>
                <w:rFonts w:ascii="Garamond" w:hAnsi="Garamond"/>
                <w:noProof/>
                <w:lang w:bidi="en-US"/>
              </w:rPr>
              <w:t>VI. Analysis</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_Toc66731816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53</w:t>
            </w:r>
            <w:r w:rsidR="00885037" w:rsidRPr="00885037">
              <w:rPr>
                <w:rFonts w:ascii="Garamond" w:hAnsi="Garamond"/>
                <w:noProof/>
                <w:webHidden/>
              </w:rPr>
              <w:fldChar w:fldCharType="end"/>
            </w:r>
          </w:hyperlink>
        </w:p>
        <w:p w14:paraId="03D7D764" w14:textId="01CF8277" w:rsidR="00885037" w:rsidRPr="00885037" w:rsidRDefault="009B18F2">
          <w:pPr>
            <w:pStyle w:val="TOC1"/>
            <w:tabs>
              <w:tab w:val="left" w:pos="720"/>
              <w:tab w:val="right" w:pos="9350"/>
            </w:tabs>
            <w:rPr>
              <w:rFonts w:ascii="Garamond" w:eastAsiaTheme="minorEastAsia" w:hAnsi="Garamond"/>
              <w:b w:val="0"/>
              <w:bCs w:val="0"/>
              <w:caps w:val="0"/>
              <w:noProof/>
              <w:sz w:val="24"/>
              <w:szCs w:val="24"/>
            </w:rPr>
          </w:pPr>
          <w:hyperlink w:anchor="_Toc66731817" w:history="1">
            <w:r w:rsidR="00885037" w:rsidRPr="00885037">
              <w:rPr>
                <w:rStyle w:val="Hyperlink"/>
                <w:rFonts w:ascii="Garamond" w:hAnsi="Garamond"/>
                <w:noProof/>
                <w:lang w:bidi="en-US"/>
              </w:rPr>
              <w:t>VII.</w:t>
            </w:r>
            <w:r w:rsidR="00885037" w:rsidRPr="00885037">
              <w:rPr>
                <w:rFonts w:ascii="Garamond" w:eastAsiaTheme="minorEastAsia" w:hAnsi="Garamond"/>
                <w:b w:val="0"/>
                <w:bCs w:val="0"/>
                <w:caps w:val="0"/>
                <w:noProof/>
                <w:sz w:val="24"/>
                <w:szCs w:val="24"/>
              </w:rPr>
              <w:tab/>
            </w:r>
            <w:r w:rsidR="00885037" w:rsidRPr="00885037">
              <w:rPr>
                <w:rStyle w:val="Hyperlink"/>
                <w:rFonts w:ascii="Garamond" w:hAnsi="Garamond"/>
                <w:noProof/>
                <w:lang w:bidi="en-US"/>
              </w:rPr>
              <w:t>Conclusion</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_Toc66731817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56</w:t>
            </w:r>
            <w:r w:rsidR="00885037" w:rsidRPr="00885037">
              <w:rPr>
                <w:rFonts w:ascii="Garamond" w:hAnsi="Garamond"/>
                <w:noProof/>
                <w:webHidden/>
              </w:rPr>
              <w:fldChar w:fldCharType="end"/>
            </w:r>
          </w:hyperlink>
        </w:p>
        <w:p w14:paraId="0A6EDC31" w14:textId="6992B32D" w:rsidR="00885037" w:rsidRPr="00885037" w:rsidRDefault="009B18F2">
          <w:pPr>
            <w:pStyle w:val="TOC1"/>
            <w:tabs>
              <w:tab w:val="right" w:pos="9350"/>
            </w:tabs>
            <w:rPr>
              <w:rFonts w:ascii="Garamond" w:eastAsiaTheme="minorEastAsia" w:hAnsi="Garamond"/>
              <w:b w:val="0"/>
              <w:bCs w:val="0"/>
              <w:caps w:val="0"/>
              <w:noProof/>
              <w:sz w:val="24"/>
              <w:szCs w:val="24"/>
            </w:rPr>
          </w:pPr>
          <w:hyperlink w:anchor="_Toc66731818" w:history="1">
            <w:r w:rsidR="00885037" w:rsidRPr="00885037">
              <w:rPr>
                <w:rStyle w:val="Hyperlink"/>
                <w:rFonts w:ascii="Garamond" w:hAnsi="Garamond"/>
                <w:noProof/>
                <w:lang w:bidi="en-US"/>
              </w:rPr>
              <w:t>Bibliography</w:t>
            </w:r>
            <w:r w:rsidR="00885037" w:rsidRPr="00885037">
              <w:rPr>
                <w:rFonts w:ascii="Garamond" w:hAnsi="Garamond"/>
                <w:noProof/>
                <w:webHidden/>
              </w:rPr>
              <w:tab/>
            </w:r>
            <w:r w:rsidR="00885037" w:rsidRPr="00885037">
              <w:rPr>
                <w:rFonts w:ascii="Garamond" w:hAnsi="Garamond"/>
                <w:noProof/>
                <w:webHidden/>
              </w:rPr>
              <w:fldChar w:fldCharType="begin"/>
            </w:r>
            <w:r w:rsidR="00885037" w:rsidRPr="00885037">
              <w:rPr>
                <w:rFonts w:ascii="Garamond" w:hAnsi="Garamond"/>
                <w:noProof/>
                <w:webHidden/>
              </w:rPr>
              <w:instrText xml:space="preserve"> PAGEREF _Toc66731818 \h </w:instrText>
            </w:r>
            <w:r w:rsidR="00885037" w:rsidRPr="00885037">
              <w:rPr>
                <w:rFonts w:ascii="Garamond" w:hAnsi="Garamond"/>
                <w:noProof/>
                <w:webHidden/>
              </w:rPr>
            </w:r>
            <w:r w:rsidR="00885037" w:rsidRPr="00885037">
              <w:rPr>
                <w:rFonts w:ascii="Garamond" w:hAnsi="Garamond"/>
                <w:noProof/>
                <w:webHidden/>
              </w:rPr>
              <w:fldChar w:fldCharType="separate"/>
            </w:r>
            <w:r w:rsidR="00885037" w:rsidRPr="00885037">
              <w:rPr>
                <w:rFonts w:ascii="Garamond" w:hAnsi="Garamond"/>
                <w:noProof/>
                <w:webHidden/>
              </w:rPr>
              <w:t>58</w:t>
            </w:r>
            <w:r w:rsidR="00885037" w:rsidRPr="00885037">
              <w:rPr>
                <w:rFonts w:ascii="Garamond" w:hAnsi="Garamond"/>
                <w:noProof/>
                <w:webHidden/>
              </w:rPr>
              <w:fldChar w:fldCharType="end"/>
            </w:r>
          </w:hyperlink>
        </w:p>
        <w:p w14:paraId="11454F8F" w14:textId="01E68D98" w:rsidR="00195A1E" w:rsidRDefault="0030323A" w:rsidP="00195A1E">
          <w:r w:rsidRPr="00885037">
            <w:rPr>
              <w:rFonts w:ascii="Garamond" w:hAnsi="Garamond"/>
              <w:b/>
              <w:bCs/>
              <w:noProof/>
              <w:sz w:val="22"/>
              <w:szCs w:val="22"/>
            </w:rPr>
            <w:fldChar w:fldCharType="end"/>
          </w:r>
        </w:p>
      </w:sdtContent>
    </w:sdt>
    <w:p w14:paraId="13AE8A12" w14:textId="5545D50E" w:rsidR="007B4836" w:rsidRDefault="007B4836" w:rsidP="00195A1E">
      <w:pPr>
        <w:rPr>
          <w:sz w:val="21"/>
          <w:szCs w:val="21"/>
        </w:rPr>
      </w:pPr>
    </w:p>
    <w:p w14:paraId="730B6EAC" w14:textId="18A1AE9A" w:rsidR="008714A4" w:rsidRDefault="008714A4" w:rsidP="00195A1E">
      <w:pPr>
        <w:rPr>
          <w:sz w:val="21"/>
          <w:szCs w:val="21"/>
        </w:rPr>
      </w:pPr>
    </w:p>
    <w:p w14:paraId="0DB41600" w14:textId="77777777" w:rsidR="008714A4" w:rsidRPr="00680558" w:rsidRDefault="008714A4" w:rsidP="00195A1E">
      <w:pPr>
        <w:rPr>
          <w:sz w:val="21"/>
          <w:szCs w:val="21"/>
        </w:rPr>
      </w:pPr>
    </w:p>
    <w:p w14:paraId="3E21CC8C" w14:textId="76337C5F" w:rsidR="008714A4" w:rsidRDefault="008714A4" w:rsidP="007055E8">
      <w:pPr>
        <w:jc w:val="center"/>
        <w:rPr>
          <w:sz w:val="21"/>
          <w:szCs w:val="21"/>
        </w:rPr>
      </w:pPr>
    </w:p>
    <w:p w14:paraId="30374C89" w14:textId="77777777" w:rsidR="007055E8" w:rsidRPr="00680558" w:rsidRDefault="007055E8" w:rsidP="00680558">
      <w:pPr>
        <w:jc w:val="center"/>
        <w:rPr>
          <w:sz w:val="21"/>
          <w:szCs w:val="21"/>
        </w:rPr>
      </w:pPr>
    </w:p>
    <w:p w14:paraId="125355F3" w14:textId="77777777" w:rsidR="0030323A" w:rsidRDefault="0030323A" w:rsidP="0030323A">
      <w:pPr>
        <w:pStyle w:val="Heading1"/>
        <w:numPr>
          <w:ilvl w:val="0"/>
          <w:numId w:val="31"/>
        </w:numPr>
        <w:rPr>
          <w:rFonts w:ascii="Garamond" w:hAnsi="Garamond"/>
          <w:color w:val="000000" w:themeColor="text1"/>
        </w:rPr>
      </w:pPr>
      <w:bookmarkStart w:id="0" w:name="_Toc63954824"/>
      <w:bookmarkStart w:id="1" w:name="_Toc66731771"/>
      <w:r w:rsidRPr="00E92768">
        <w:rPr>
          <w:rFonts w:ascii="Garamond" w:hAnsi="Garamond"/>
          <w:color w:val="000000" w:themeColor="text1"/>
        </w:rPr>
        <w:lastRenderedPageBreak/>
        <w:t>Introduction</w:t>
      </w:r>
      <w:bookmarkEnd w:id="0"/>
      <w:bookmarkEnd w:id="1"/>
    </w:p>
    <w:p w14:paraId="2215147C" w14:textId="77777777" w:rsidR="0030323A" w:rsidRPr="00E92768" w:rsidRDefault="0030323A" w:rsidP="0030323A">
      <w:pPr>
        <w:rPr>
          <w:lang w:bidi="en-US"/>
        </w:rPr>
      </w:pPr>
    </w:p>
    <w:p w14:paraId="374E4C00" w14:textId="103D3AF8" w:rsidR="0075067F" w:rsidRDefault="0075067F" w:rsidP="00BA2D8A">
      <w:pPr>
        <w:spacing w:line="480" w:lineRule="auto"/>
        <w:ind w:firstLine="360"/>
        <w:rPr>
          <w:rFonts w:ascii="Garamond" w:hAnsi="Garamond"/>
          <w:color w:val="000000" w:themeColor="text1"/>
        </w:rPr>
      </w:pPr>
      <w:r w:rsidRPr="001B1C7A">
        <w:rPr>
          <w:rFonts w:ascii="Garamond" w:hAnsi="Garamond"/>
          <w:color w:val="000000" w:themeColor="text1"/>
        </w:rPr>
        <w:t xml:space="preserve">On June 10, 1919, </w:t>
      </w:r>
      <w:r>
        <w:rPr>
          <w:rFonts w:ascii="Garamond" w:hAnsi="Garamond"/>
          <w:color w:val="000000" w:themeColor="text1"/>
        </w:rPr>
        <w:t xml:space="preserve">a small group of Americans arrived </w:t>
      </w:r>
      <w:r w:rsidRPr="001B1C7A">
        <w:rPr>
          <w:rFonts w:ascii="Garamond" w:hAnsi="Garamond"/>
          <w:color w:val="000000" w:themeColor="text1"/>
        </w:rPr>
        <w:t xml:space="preserve">in Jaffa, Greater Syria to gauge Middle Eastern attitudes towards a future League of Nations Mandate. Led by Henry Churchill King and Charles Crane, two confidants of President Woodrow Wilson, this commission was one of many </w:t>
      </w:r>
      <w:r>
        <w:rPr>
          <w:rFonts w:ascii="Garamond" w:hAnsi="Garamond"/>
          <w:color w:val="000000" w:themeColor="text1"/>
        </w:rPr>
        <w:t>that</w:t>
      </w:r>
      <w:r w:rsidRPr="001B1C7A">
        <w:rPr>
          <w:rFonts w:ascii="Garamond" w:hAnsi="Garamond"/>
          <w:color w:val="000000" w:themeColor="text1"/>
        </w:rPr>
        <w:t xml:space="preserve"> emerge</w:t>
      </w:r>
      <w:r>
        <w:rPr>
          <w:rFonts w:ascii="Garamond" w:hAnsi="Garamond"/>
          <w:color w:val="000000" w:themeColor="text1"/>
        </w:rPr>
        <w:t>d</w:t>
      </w:r>
      <w:r w:rsidRPr="001B1C7A">
        <w:rPr>
          <w:rFonts w:ascii="Garamond" w:hAnsi="Garamond"/>
          <w:color w:val="000000" w:themeColor="text1"/>
        </w:rPr>
        <w:t xml:space="preserve"> from the Paris Peace Conference</w:t>
      </w:r>
      <w:r w:rsidR="00E73989">
        <w:rPr>
          <w:rFonts w:ascii="Garamond" w:hAnsi="Garamond"/>
          <w:color w:val="000000" w:themeColor="text1"/>
        </w:rPr>
        <w:t xml:space="preserve"> that was deciding the terms of the </w:t>
      </w:r>
      <w:r w:rsidR="00231069">
        <w:rPr>
          <w:rFonts w:ascii="Garamond" w:hAnsi="Garamond"/>
          <w:color w:val="000000" w:themeColor="text1"/>
        </w:rPr>
        <w:t>Central</w:t>
      </w:r>
      <w:r w:rsidR="00E73989">
        <w:rPr>
          <w:rFonts w:ascii="Garamond" w:hAnsi="Garamond"/>
          <w:color w:val="000000" w:themeColor="text1"/>
        </w:rPr>
        <w:t xml:space="preserve"> power</w:t>
      </w:r>
      <w:r w:rsidR="00231069">
        <w:rPr>
          <w:rFonts w:ascii="Garamond" w:hAnsi="Garamond"/>
          <w:color w:val="000000" w:themeColor="text1"/>
        </w:rPr>
        <w:t>s’</w:t>
      </w:r>
      <w:r w:rsidR="00E73989">
        <w:rPr>
          <w:rFonts w:ascii="Garamond" w:hAnsi="Garamond"/>
          <w:color w:val="000000" w:themeColor="text1"/>
        </w:rPr>
        <w:t xml:space="preserve"> surrender</w:t>
      </w:r>
      <w:r w:rsidRPr="001B1C7A">
        <w:rPr>
          <w:rFonts w:ascii="Garamond" w:hAnsi="Garamond"/>
          <w:color w:val="000000" w:themeColor="text1"/>
        </w:rPr>
        <w:t xml:space="preserve">. To the chagrin of the British and French, Wilson, influenced by </w:t>
      </w:r>
      <w:r>
        <w:rPr>
          <w:rFonts w:ascii="Garamond" w:hAnsi="Garamond"/>
          <w:color w:val="000000" w:themeColor="text1"/>
        </w:rPr>
        <w:t xml:space="preserve">the principle </w:t>
      </w:r>
      <w:r w:rsidRPr="001B1C7A">
        <w:rPr>
          <w:rFonts w:ascii="Garamond" w:hAnsi="Garamond"/>
          <w:color w:val="000000" w:themeColor="text1"/>
        </w:rPr>
        <w:t>of self-determination, believed that former portions of the Ottoman empire should select their mandatory power</w:t>
      </w:r>
      <w:r w:rsidR="00C6532D">
        <w:rPr>
          <w:rFonts w:ascii="Garamond" w:hAnsi="Garamond"/>
          <w:color w:val="000000" w:themeColor="text1"/>
        </w:rPr>
        <w:t xml:space="preserve"> </w:t>
      </w:r>
      <w:r w:rsidRPr="001B1C7A">
        <w:rPr>
          <w:rFonts w:ascii="Garamond" w:hAnsi="Garamond"/>
          <w:color w:val="000000" w:themeColor="text1"/>
        </w:rPr>
        <w:t>under the League of Nations mandate system. The King – Crane Commission (</w:t>
      </w:r>
      <w:r w:rsidR="00C6532D">
        <w:rPr>
          <w:rFonts w:ascii="Garamond" w:hAnsi="Garamond"/>
          <w:color w:val="000000" w:themeColor="text1"/>
        </w:rPr>
        <w:t>K.C.C.</w:t>
      </w:r>
      <w:r w:rsidRPr="001B1C7A">
        <w:rPr>
          <w:rFonts w:ascii="Garamond" w:hAnsi="Garamond"/>
          <w:color w:val="000000" w:themeColor="text1"/>
        </w:rPr>
        <w:t xml:space="preserve">), consequently, visited 32 areas and received 1893 petitions from </w:t>
      </w:r>
      <w:r>
        <w:rPr>
          <w:rFonts w:ascii="Garamond" w:hAnsi="Garamond"/>
          <w:color w:val="000000" w:themeColor="text1"/>
        </w:rPr>
        <w:t>people</w:t>
      </w:r>
      <w:r w:rsidRPr="001B1C7A">
        <w:rPr>
          <w:rFonts w:ascii="Garamond" w:hAnsi="Garamond"/>
          <w:color w:val="000000" w:themeColor="text1"/>
        </w:rPr>
        <w:t xml:space="preserve"> </w:t>
      </w:r>
      <w:r>
        <w:rPr>
          <w:rFonts w:ascii="Garamond" w:hAnsi="Garamond"/>
          <w:color w:val="000000" w:themeColor="text1"/>
        </w:rPr>
        <w:t>of the Levant</w:t>
      </w:r>
      <w:r w:rsidRPr="001B1C7A">
        <w:rPr>
          <w:rFonts w:ascii="Garamond" w:hAnsi="Garamond"/>
          <w:color w:val="000000" w:themeColor="text1"/>
        </w:rPr>
        <w:t xml:space="preserve"> concerning their desired future.</w:t>
      </w:r>
      <w:r w:rsidRPr="001B1C7A">
        <w:rPr>
          <w:rStyle w:val="FootnoteReference"/>
          <w:rFonts w:ascii="Garamond" w:hAnsi="Garamond"/>
          <w:color w:val="000000" w:themeColor="text1"/>
        </w:rPr>
        <w:footnoteReference w:id="1"/>
      </w:r>
      <w:r w:rsidRPr="001B1C7A">
        <w:rPr>
          <w:rFonts w:ascii="Garamond" w:hAnsi="Garamond"/>
          <w:color w:val="000000" w:themeColor="text1"/>
        </w:rPr>
        <w:t xml:space="preserve"> </w:t>
      </w:r>
      <w:r>
        <w:rPr>
          <w:rFonts w:ascii="Garamond" w:hAnsi="Garamond"/>
          <w:color w:val="000000" w:themeColor="text1"/>
        </w:rPr>
        <w:t>The Levant</w:t>
      </w:r>
      <w:r w:rsidRPr="001B1C7A">
        <w:rPr>
          <w:rFonts w:ascii="Garamond" w:hAnsi="Garamond"/>
          <w:color w:val="000000" w:themeColor="text1"/>
        </w:rPr>
        <w:t xml:space="preserve"> overwhelmingly supported independence, followed by an American Mandate</w:t>
      </w:r>
      <w:r w:rsidR="00C6532D">
        <w:rPr>
          <w:rFonts w:ascii="Garamond" w:hAnsi="Garamond"/>
          <w:color w:val="000000" w:themeColor="text1"/>
        </w:rPr>
        <w:t xml:space="preserve"> </w:t>
      </w:r>
      <w:r w:rsidRPr="001B1C7A">
        <w:rPr>
          <w:rFonts w:ascii="Garamond" w:hAnsi="Garamond"/>
          <w:color w:val="000000" w:themeColor="text1"/>
        </w:rPr>
        <w:t xml:space="preserve">and held strong anti – Zionist sentiments. </w:t>
      </w:r>
      <w:r w:rsidR="00584730">
        <w:rPr>
          <w:rFonts w:ascii="Garamond" w:hAnsi="Garamond"/>
          <w:color w:val="000000" w:themeColor="text1"/>
        </w:rPr>
        <w:t>However, th</w:t>
      </w:r>
      <w:r w:rsidRPr="001B1C7A">
        <w:rPr>
          <w:rFonts w:ascii="Garamond" w:hAnsi="Garamond"/>
          <w:color w:val="000000" w:themeColor="text1"/>
        </w:rPr>
        <w:t xml:space="preserve">e U.S. State Department suppressed these findings in the interest of </w:t>
      </w:r>
      <w:r w:rsidR="00231069">
        <w:rPr>
          <w:rFonts w:ascii="Garamond" w:hAnsi="Garamond"/>
          <w:color w:val="000000" w:themeColor="text1"/>
        </w:rPr>
        <w:t>European alliances</w:t>
      </w:r>
      <w:r>
        <w:rPr>
          <w:rFonts w:ascii="Garamond" w:hAnsi="Garamond"/>
          <w:color w:val="000000" w:themeColor="text1"/>
        </w:rPr>
        <w:t xml:space="preserve">. </w:t>
      </w:r>
      <w:r w:rsidR="00A765A6">
        <w:rPr>
          <w:rFonts w:ascii="Garamond" w:hAnsi="Garamond"/>
          <w:color w:val="000000" w:themeColor="text1"/>
        </w:rPr>
        <w:t xml:space="preserve">Along the way, U.S. oil </w:t>
      </w:r>
      <w:r w:rsidR="00C6532D">
        <w:rPr>
          <w:rFonts w:ascii="Garamond" w:hAnsi="Garamond"/>
          <w:color w:val="000000" w:themeColor="text1"/>
        </w:rPr>
        <w:t>companies</w:t>
      </w:r>
      <w:r w:rsidR="00A765A6">
        <w:rPr>
          <w:rFonts w:ascii="Garamond" w:hAnsi="Garamond"/>
          <w:color w:val="000000" w:themeColor="text1"/>
        </w:rPr>
        <w:t xml:space="preserve"> attempted to co-opt members of the K.C.C. to advocate for an Open Door policy towards the Middle East</w:t>
      </w:r>
      <w:r w:rsidR="00C6532D">
        <w:rPr>
          <w:rFonts w:ascii="Garamond" w:hAnsi="Garamond"/>
          <w:color w:val="000000" w:themeColor="text1"/>
        </w:rPr>
        <w:t xml:space="preserve">, or </w:t>
      </w:r>
      <w:r w:rsidR="00A765A6">
        <w:rPr>
          <w:rFonts w:ascii="Garamond" w:hAnsi="Garamond"/>
          <w:color w:val="000000" w:themeColor="text1"/>
        </w:rPr>
        <w:t>the equal treatment of all nation’s commerce</w:t>
      </w:r>
      <w:r w:rsidR="00231069">
        <w:rPr>
          <w:rFonts w:ascii="Garamond" w:hAnsi="Garamond"/>
          <w:color w:val="000000" w:themeColor="text1"/>
        </w:rPr>
        <w:t>, especially</w:t>
      </w:r>
      <w:r w:rsidR="00E73989">
        <w:rPr>
          <w:rFonts w:ascii="Garamond" w:hAnsi="Garamond"/>
          <w:color w:val="000000" w:themeColor="text1"/>
        </w:rPr>
        <w:t xml:space="preserve"> in face of European exclusionary economic activity</w:t>
      </w:r>
      <w:r w:rsidR="00A765A6">
        <w:rPr>
          <w:rFonts w:ascii="Garamond" w:hAnsi="Garamond"/>
          <w:color w:val="000000" w:themeColor="text1"/>
        </w:rPr>
        <w:t xml:space="preserve">. </w:t>
      </w:r>
      <w:r w:rsidR="00C6532D">
        <w:rPr>
          <w:rFonts w:ascii="Garamond" w:hAnsi="Garamond"/>
          <w:color w:val="000000" w:themeColor="text1"/>
        </w:rPr>
        <w:t>As some U.S. policymakers increasingly thought of oil in terms of national security,</w:t>
      </w:r>
      <w:r w:rsidR="00BA2D8A">
        <w:rPr>
          <w:rFonts w:ascii="Garamond" w:hAnsi="Garamond"/>
          <w:color w:val="000000" w:themeColor="text1"/>
        </w:rPr>
        <w:t xml:space="preserve"> </w:t>
      </w:r>
      <w:r w:rsidR="00584730">
        <w:rPr>
          <w:rFonts w:ascii="Garamond" w:hAnsi="Garamond"/>
          <w:color w:val="000000" w:themeColor="text1"/>
        </w:rPr>
        <w:t>an alignment of circumstance formed between oil interests and U.S. policymakers</w:t>
      </w:r>
      <w:r w:rsidR="00E73989">
        <w:rPr>
          <w:rFonts w:ascii="Garamond" w:hAnsi="Garamond"/>
          <w:color w:val="000000" w:themeColor="text1"/>
        </w:rPr>
        <w:t>. T</w:t>
      </w:r>
      <w:r w:rsidR="00BA2D8A">
        <w:rPr>
          <w:rFonts w:ascii="Garamond" w:hAnsi="Garamond"/>
          <w:color w:val="000000" w:themeColor="text1"/>
        </w:rPr>
        <w:t xml:space="preserve">he oil magnates’ </w:t>
      </w:r>
      <w:r w:rsidR="00603343">
        <w:rPr>
          <w:rFonts w:ascii="Garamond" w:hAnsi="Garamond"/>
          <w:color w:val="000000" w:themeColor="text1"/>
        </w:rPr>
        <w:t>activities</w:t>
      </w:r>
      <w:r w:rsidR="00E73989">
        <w:rPr>
          <w:rFonts w:ascii="Garamond" w:hAnsi="Garamond"/>
          <w:color w:val="000000" w:themeColor="text1"/>
        </w:rPr>
        <w:t>, however</w:t>
      </w:r>
      <w:r w:rsidR="00C305DD">
        <w:rPr>
          <w:rFonts w:ascii="Garamond" w:hAnsi="Garamond"/>
          <w:color w:val="000000" w:themeColor="text1"/>
        </w:rPr>
        <w:t>,</w:t>
      </w:r>
      <w:r w:rsidR="00BA2D8A">
        <w:rPr>
          <w:rFonts w:ascii="Garamond" w:hAnsi="Garamond"/>
          <w:color w:val="000000" w:themeColor="text1"/>
        </w:rPr>
        <w:t xml:space="preserve"> did not dictate U.S. interests. Rather, </w:t>
      </w:r>
      <w:r w:rsidR="00BA2D8A" w:rsidRPr="007F3D46">
        <w:rPr>
          <w:rFonts w:ascii="Garamond" w:hAnsi="Garamond"/>
          <w:color w:val="000000" w:themeColor="text1"/>
        </w:rPr>
        <w:t>oil magnates and the K.C.C. elevate</w:t>
      </w:r>
      <w:r w:rsidR="0063429B">
        <w:rPr>
          <w:rFonts w:ascii="Garamond" w:hAnsi="Garamond"/>
          <w:color w:val="000000" w:themeColor="text1"/>
        </w:rPr>
        <w:t>d</w:t>
      </w:r>
      <w:r w:rsidR="001D5245" w:rsidRPr="00680558">
        <w:rPr>
          <w:rFonts w:ascii="Garamond" w:hAnsi="Garamond"/>
          <w:color w:val="000000" w:themeColor="text1"/>
        </w:rPr>
        <w:t xml:space="preserve"> </w:t>
      </w:r>
      <w:r w:rsidR="008C4976" w:rsidRPr="00680558">
        <w:rPr>
          <w:rFonts w:ascii="Garamond" w:hAnsi="Garamond"/>
          <w:color w:val="000000" w:themeColor="text1"/>
        </w:rPr>
        <w:t xml:space="preserve">the status of </w:t>
      </w:r>
      <w:r w:rsidR="00BA2D8A" w:rsidRPr="007F3D46">
        <w:rPr>
          <w:rFonts w:ascii="Garamond" w:hAnsi="Garamond"/>
          <w:color w:val="000000" w:themeColor="text1"/>
        </w:rPr>
        <w:t>policymakers</w:t>
      </w:r>
      <w:r w:rsidR="00584730" w:rsidRPr="007F3D46">
        <w:rPr>
          <w:rFonts w:ascii="Garamond" w:hAnsi="Garamond"/>
          <w:color w:val="000000" w:themeColor="text1"/>
        </w:rPr>
        <w:t xml:space="preserve"> </w:t>
      </w:r>
      <w:r w:rsidR="00BA2D8A" w:rsidRPr="007F3D46">
        <w:rPr>
          <w:rFonts w:ascii="Garamond" w:hAnsi="Garamond"/>
          <w:color w:val="000000" w:themeColor="text1"/>
        </w:rPr>
        <w:t>who conceived of oil in terms of U.S. national security</w:t>
      </w:r>
      <w:r w:rsidR="0063429B">
        <w:rPr>
          <w:rFonts w:ascii="Garamond" w:hAnsi="Garamond"/>
          <w:color w:val="000000" w:themeColor="text1"/>
        </w:rPr>
        <w:t xml:space="preserve">; </w:t>
      </w:r>
      <w:r w:rsidR="001D5245" w:rsidRPr="00680558">
        <w:rPr>
          <w:rFonts w:ascii="Garamond" w:hAnsi="Garamond"/>
          <w:color w:val="000000" w:themeColor="text1"/>
        </w:rPr>
        <w:t xml:space="preserve">these </w:t>
      </w:r>
      <w:r w:rsidR="0063429B">
        <w:rPr>
          <w:rFonts w:ascii="Garamond" w:hAnsi="Garamond"/>
          <w:color w:val="000000" w:themeColor="text1"/>
        </w:rPr>
        <w:t>national security concerns then</w:t>
      </w:r>
      <w:r w:rsidR="00BA2D8A" w:rsidRPr="007F3D46">
        <w:rPr>
          <w:rFonts w:ascii="Garamond" w:hAnsi="Garamond"/>
          <w:color w:val="000000" w:themeColor="text1"/>
        </w:rPr>
        <w:t xml:space="preserve"> </w:t>
      </w:r>
      <w:r w:rsidR="00270C7B">
        <w:rPr>
          <w:rFonts w:ascii="Garamond" w:hAnsi="Garamond"/>
          <w:color w:val="000000" w:themeColor="text1"/>
        </w:rPr>
        <w:t>motivated</w:t>
      </w:r>
      <w:r w:rsidR="00A765A6" w:rsidRPr="007F3D46">
        <w:rPr>
          <w:rFonts w:ascii="Garamond" w:hAnsi="Garamond"/>
          <w:color w:val="000000" w:themeColor="text1"/>
        </w:rPr>
        <w:t xml:space="preserve"> the </w:t>
      </w:r>
      <w:r w:rsidR="0063429B">
        <w:rPr>
          <w:rFonts w:ascii="Garamond" w:hAnsi="Garamond"/>
          <w:color w:val="000000" w:themeColor="text1"/>
        </w:rPr>
        <w:t xml:space="preserve">1920 </w:t>
      </w:r>
      <w:r w:rsidR="00A765A6" w:rsidRPr="007F3D46">
        <w:rPr>
          <w:rFonts w:ascii="Garamond" w:hAnsi="Garamond"/>
          <w:color w:val="000000" w:themeColor="text1"/>
        </w:rPr>
        <w:t xml:space="preserve">U.S. </w:t>
      </w:r>
      <w:r w:rsidR="0063429B">
        <w:rPr>
          <w:rFonts w:ascii="Garamond" w:hAnsi="Garamond"/>
          <w:color w:val="000000" w:themeColor="text1"/>
        </w:rPr>
        <w:t>application</w:t>
      </w:r>
      <w:r w:rsidR="00A765A6" w:rsidRPr="007F3D46">
        <w:rPr>
          <w:rFonts w:ascii="Garamond" w:hAnsi="Garamond"/>
          <w:color w:val="000000" w:themeColor="text1"/>
        </w:rPr>
        <w:t xml:space="preserve"> of the Open Door </w:t>
      </w:r>
      <w:r w:rsidR="0063429B">
        <w:rPr>
          <w:rFonts w:ascii="Garamond" w:hAnsi="Garamond"/>
          <w:color w:val="000000" w:themeColor="text1"/>
        </w:rPr>
        <w:t>to</w:t>
      </w:r>
      <w:r w:rsidR="00A765A6" w:rsidRPr="007F3D46">
        <w:rPr>
          <w:rFonts w:ascii="Garamond" w:hAnsi="Garamond"/>
          <w:color w:val="000000" w:themeColor="text1"/>
        </w:rPr>
        <w:t xml:space="preserve"> the Middle East.</w:t>
      </w:r>
      <w:r w:rsidR="00A765A6">
        <w:rPr>
          <w:rFonts w:ascii="Garamond" w:hAnsi="Garamond"/>
          <w:color w:val="000000" w:themeColor="text1"/>
        </w:rPr>
        <w:t xml:space="preserve"> </w:t>
      </w:r>
    </w:p>
    <w:p w14:paraId="5FF3A762" w14:textId="0513C501" w:rsidR="006C7101" w:rsidRDefault="0030323A" w:rsidP="0030323A">
      <w:pPr>
        <w:spacing w:line="480" w:lineRule="auto"/>
        <w:rPr>
          <w:rFonts w:ascii="Garamond" w:hAnsi="Garamond"/>
          <w:color w:val="000000" w:themeColor="text1"/>
        </w:rPr>
      </w:pPr>
      <w:r w:rsidRPr="001B1C7A">
        <w:rPr>
          <w:rFonts w:ascii="Garamond" w:hAnsi="Garamond"/>
          <w:color w:val="000000" w:themeColor="text1"/>
        </w:rPr>
        <w:tab/>
        <w:t>Scholars have viewed the K</w:t>
      </w:r>
      <w:r w:rsidR="0075067F">
        <w:rPr>
          <w:rFonts w:ascii="Garamond" w:hAnsi="Garamond"/>
          <w:color w:val="000000" w:themeColor="text1"/>
        </w:rPr>
        <w:t>.</w:t>
      </w:r>
      <w:r w:rsidRPr="001B1C7A">
        <w:rPr>
          <w:rFonts w:ascii="Garamond" w:hAnsi="Garamond"/>
          <w:color w:val="000000" w:themeColor="text1"/>
        </w:rPr>
        <w:t>C</w:t>
      </w:r>
      <w:r w:rsidR="0075067F">
        <w:rPr>
          <w:rFonts w:ascii="Garamond" w:hAnsi="Garamond"/>
          <w:color w:val="000000" w:themeColor="text1"/>
        </w:rPr>
        <w:t>.</w:t>
      </w:r>
      <w:r w:rsidRPr="001B1C7A">
        <w:rPr>
          <w:rFonts w:ascii="Garamond" w:hAnsi="Garamond"/>
          <w:color w:val="000000" w:themeColor="text1"/>
        </w:rPr>
        <w:t>C</w:t>
      </w:r>
      <w:r w:rsidR="0075067F">
        <w:rPr>
          <w:rFonts w:ascii="Garamond" w:hAnsi="Garamond"/>
          <w:color w:val="000000" w:themeColor="text1"/>
        </w:rPr>
        <w:t>.</w:t>
      </w:r>
      <w:r w:rsidRPr="001B1C7A">
        <w:rPr>
          <w:rFonts w:ascii="Garamond" w:hAnsi="Garamond"/>
          <w:color w:val="000000" w:themeColor="text1"/>
        </w:rPr>
        <w:t xml:space="preserve"> as an example of </w:t>
      </w:r>
      <w:r w:rsidR="00855E6E">
        <w:rPr>
          <w:rFonts w:ascii="Garamond" w:hAnsi="Garamond"/>
          <w:color w:val="000000" w:themeColor="text1"/>
        </w:rPr>
        <w:t xml:space="preserve">the </w:t>
      </w:r>
      <w:r w:rsidRPr="001B1C7A">
        <w:rPr>
          <w:rFonts w:ascii="Garamond" w:hAnsi="Garamond"/>
          <w:color w:val="000000" w:themeColor="text1"/>
        </w:rPr>
        <w:t>divergence between Wilson’s proclaimed idealism and his practiced pragmatism. This stanc</w:t>
      </w:r>
      <w:r w:rsidR="00B2147C">
        <w:rPr>
          <w:rFonts w:ascii="Garamond" w:hAnsi="Garamond"/>
          <w:color w:val="000000" w:themeColor="text1"/>
        </w:rPr>
        <w:t>e</w:t>
      </w:r>
      <w:r w:rsidRPr="001B1C7A">
        <w:rPr>
          <w:rFonts w:ascii="Garamond" w:hAnsi="Garamond"/>
          <w:color w:val="000000" w:themeColor="text1"/>
        </w:rPr>
        <w:t xml:space="preserve"> overlooks how the K</w:t>
      </w:r>
      <w:r w:rsidR="0075067F">
        <w:rPr>
          <w:rFonts w:ascii="Garamond" w:hAnsi="Garamond"/>
          <w:color w:val="000000" w:themeColor="text1"/>
        </w:rPr>
        <w:t>.</w:t>
      </w:r>
      <w:r w:rsidRPr="001B1C7A">
        <w:rPr>
          <w:rFonts w:ascii="Garamond" w:hAnsi="Garamond"/>
          <w:color w:val="000000" w:themeColor="text1"/>
        </w:rPr>
        <w:t>C</w:t>
      </w:r>
      <w:r w:rsidR="0075067F">
        <w:rPr>
          <w:rFonts w:ascii="Garamond" w:hAnsi="Garamond"/>
          <w:color w:val="000000" w:themeColor="text1"/>
        </w:rPr>
        <w:t>.</w:t>
      </w:r>
      <w:r w:rsidRPr="001B1C7A">
        <w:rPr>
          <w:rFonts w:ascii="Garamond" w:hAnsi="Garamond"/>
          <w:color w:val="000000" w:themeColor="text1"/>
        </w:rPr>
        <w:t>C</w:t>
      </w:r>
      <w:r w:rsidR="0075067F">
        <w:rPr>
          <w:rFonts w:ascii="Garamond" w:hAnsi="Garamond"/>
          <w:color w:val="000000" w:themeColor="text1"/>
        </w:rPr>
        <w:t>.</w:t>
      </w:r>
      <w:r w:rsidRPr="001B1C7A">
        <w:rPr>
          <w:rFonts w:ascii="Garamond" w:hAnsi="Garamond"/>
          <w:color w:val="000000" w:themeColor="text1"/>
        </w:rPr>
        <w:t xml:space="preserve"> could have informed immediate post-World War I oil policy. As the K</w:t>
      </w:r>
      <w:r w:rsidR="0075067F">
        <w:rPr>
          <w:rFonts w:ascii="Garamond" w:hAnsi="Garamond"/>
          <w:color w:val="000000" w:themeColor="text1"/>
        </w:rPr>
        <w:t>.</w:t>
      </w:r>
      <w:r w:rsidRPr="001B1C7A">
        <w:rPr>
          <w:rFonts w:ascii="Garamond" w:hAnsi="Garamond"/>
          <w:color w:val="000000" w:themeColor="text1"/>
        </w:rPr>
        <w:t>C</w:t>
      </w:r>
      <w:r w:rsidR="0075067F">
        <w:rPr>
          <w:rFonts w:ascii="Garamond" w:hAnsi="Garamond"/>
          <w:color w:val="000000" w:themeColor="text1"/>
        </w:rPr>
        <w:t>.</w:t>
      </w:r>
      <w:r w:rsidRPr="001B1C7A">
        <w:rPr>
          <w:rFonts w:ascii="Garamond" w:hAnsi="Garamond"/>
          <w:color w:val="000000" w:themeColor="text1"/>
        </w:rPr>
        <w:t>C</w:t>
      </w:r>
      <w:r w:rsidR="0075067F">
        <w:rPr>
          <w:rFonts w:ascii="Garamond" w:hAnsi="Garamond"/>
          <w:color w:val="000000" w:themeColor="text1"/>
        </w:rPr>
        <w:t>.</w:t>
      </w:r>
      <w:r w:rsidRPr="001B1C7A">
        <w:rPr>
          <w:rFonts w:ascii="Garamond" w:hAnsi="Garamond"/>
          <w:color w:val="000000" w:themeColor="text1"/>
        </w:rPr>
        <w:t xml:space="preserve"> entered the Middle East in the context of predatory European oil practices</w:t>
      </w:r>
      <w:r w:rsidR="00CD37FF">
        <w:rPr>
          <w:rFonts w:ascii="Garamond" w:hAnsi="Garamond"/>
          <w:color w:val="000000" w:themeColor="text1"/>
        </w:rPr>
        <w:t xml:space="preserve"> - </w:t>
      </w:r>
      <w:r w:rsidRPr="001B1C7A">
        <w:rPr>
          <w:rFonts w:ascii="Garamond" w:hAnsi="Garamond"/>
          <w:color w:val="000000" w:themeColor="text1"/>
        </w:rPr>
        <w:t xml:space="preserve">designed to </w:t>
      </w:r>
      <w:r w:rsidR="00855E6E">
        <w:rPr>
          <w:rFonts w:ascii="Garamond" w:hAnsi="Garamond"/>
          <w:color w:val="000000" w:themeColor="text1"/>
        </w:rPr>
        <w:t xml:space="preserve">preclude </w:t>
      </w:r>
      <w:r w:rsidRPr="001B1C7A">
        <w:rPr>
          <w:rFonts w:ascii="Garamond" w:hAnsi="Garamond"/>
          <w:color w:val="000000" w:themeColor="text1"/>
        </w:rPr>
        <w:t>U.S. firms</w:t>
      </w:r>
      <w:r w:rsidR="00CD37FF">
        <w:rPr>
          <w:rFonts w:ascii="Garamond" w:hAnsi="Garamond"/>
          <w:color w:val="000000" w:themeColor="text1"/>
        </w:rPr>
        <w:t xml:space="preserve"> -</w:t>
      </w:r>
      <w:r w:rsidRPr="001B1C7A">
        <w:rPr>
          <w:rFonts w:ascii="Garamond" w:hAnsi="Garamond"/>
          <w:color w:val="000000" w:themeColor="text1"/>
        </w:rPr>
        <w:t xml:space="preserve"> it interacted with various </w:t>
      </w:r>
      <w:r w:rsidR="00177CEC">
        <w:rPr>
          <w:rFonts w:ascii="Garamond" w:hAnsi="Garamond"/>
          <w:color w:val="000000" w:themeColor="text1"/>
        </w:rPr>
        <w:t>European</w:t>
      </w:r>
      <w:r w:rsidR="00177CEC" w:rsidRPr="001B1C7A">
        <w:rPr>
          <w:rFonts w:ascii="Garamond" w:hAnsi="Garamond"/>
          <w:color w:val="000000" w:themeColor="text1"/>
        </w:rPr>
        <w:t xml:space="preserve"> </w:t>
      </w:r>
      <w:r w:rsidRPr="001B1C7A">
        <w:rPr>
          <w:rFonts w:ascii="Garamond" w:hAnsi="Garamond"/>
          <w:color w:val="000000" w:themeColor="text1"/>
        </w:rPr>
        <w:t xml:space="preserve">oil interests </w:t>
      </w:r>
      <w:r w:rsidR="009C686A">
        <w:rPr>
          <w:rFonts w:ascii="Garamond" w:hAnsi="Garamond"/>
          <w:color w:val="000000" w:themeColor="text1"/>
        </w:rPr>
        <w:t>and</w:t>
      </w:r>
      <w:r w:rsidRPr="001B1C7A">
        <w:rPr>
          <w:rFonts w:ascii="Garamond" w:hAnsi="Garamond"/>
          <w:color w:val="000000" w:themeColor="text1"/>
        </w:rPr>
        <w:t xml:space="preserve"> colonial officials who were conspiring to </w:t>
      </w:r>
      <w:r w:rsidR="00231069">
        <w:rPr>
          <w:rFonts w:ascii="Garamond" w:hAnsi="Garamond"/>
          <w:color w:val="000000" w:themeColor="text1"/>
        </w:rPr>
        <w:t>inhibit</w:t>
      </w:r>
      <w:r w:rsidR="00231069" w:rsidRPr="001B1C7A">
        <w:rPr>
          <w:rFonts w:ascii="Garamond" w:hAnsi="Garamond"/>
          <w:color w:val="000000" w:themeColor="text1"/>
        </w:rPr>
        <w:t xml:space="preserve"> </w:t>
      </w:r>
      <w:r w:rsidRPr="001B1C7A">
        <w:rPr>
          <w:rFonts w:ascii="Garamond" w:hAnsi="Garamond"/>
          <w:color w:val="000000" w:themeColor="text1"/>
        </w:rPr>
        <w:t>American</w:t>
      </w:r>
      <w:r w:rsidR="00231069">
        <w:rPr>
          <w:rFonts w:ascii="Garamond" w:hAnsi="Garamond"/>
          <w:color w:val="000000" w:themeColor="text1"/>
        </w:rPr>
        <w:t xml:space="preserve"> entry</w:t>
      </w:r>
      <w:r w:rsidRPr="001B1C7A">
        <w:rPr>
          <w:rFonts w:ascii="Garamond" w:hAnsi="Garamond"/>
          <w:color w:val="000000" w:themeColor="text1"/>
        </w:rPr>
        <w:t xml:space="preserve">. </w:t>
      </w:r>
      <w:r w:rsidR="00B2147C">
        <w:rPr>
          <w:rFonts w:ascii="Garamond" w:hAnsi="Garamond"/>
          <w:color w:val="000000" w:themeColor="text1"/>
        </w:rPr>
        <w:lastRenderedPageBreak/>
        <w:t xml:space="preserve">Meanwhile, </w:t>
      </w:r>
      <w:r w:rsidRPr="001B1C7A">
        <w:rPr>
          <w:rFonts w:ascii="Garamond" w:hAnsi="Garamond"/>
          <w:color w:val="000000" w:themeColor="text1"/>
        </w:rPr>
        <w:t>competition over oil in the pre – Ottoman Empire had crystallized as the Turkish Petroleum Company</w:t>
      </w:r>
      <w:r w:rsidR="00231069">
        <w:rPr>
          <w:rFonts w:ascii="Garamond" w:hAnsi="Garamond"/>
          <w:color w:val="000000" w:themeColor="text1"/>
        </w:rPr>
        <w:t xml:space="preserve"> (T.P.C.)</w:t>
      </w:r>
      <w:r w:rsidRPr="001B1C7A">
        <w:rPr>
          <w:rFonts w:ascii="Garamond" w:hAnsi="Garamond"/>
          <w:color w:val="000000" w:themeColor="text1"/>
        </w:rPr>
        <w:t>, an English, French and Dutch consortium</w:t>
      </w:r>
      <w:r w:rsidR="0075067F">
        <w:rPr>
          <w:rFonts w:ascii="Garamond" w:hAnsi="Garamond"/>
          <w:color w:val="000000" w:themeColor="text1"/>
        </w:rPr>
        <w:t xml:space="preserve"> that </w:t>
      </w:r>
      <w:r w:rsidRPr="001B1C7A">
        <w:rPr>
          <w:rFonts w:ascii="Garamond" w:hAnsi="Garamond"/>
          <w:color w:val="000000" w:themeColor="text1"/>
        </w:rPr>
        <w:t xml:space="preserve">remained the main </w:t>
      </w:r>
      <w:r w:rsidR="00231069">
        <w:rPr>
          <w:rFonts w:ascii="Garamond" w:hAnsi="Garamond"/>
          <w:color w:val="000000" w:themeColor="text1"/>
        </w:rPr>
        <w:t xml:space="preserve">legal </w:t>
      </w:r>
      <w:r w:rsidRPr="001B1C7A">
        <w:rPr>
          <w:rFonts w:ascii="Garamond" w:hAnsi="Garamond"/>
          <w:color w:val="000000" w:themeColor="text1"/>
        </w:rPr>
        <w:t xml:space="preserve">impediment to </w:t>
      </w:r>
      <w:r w:rsidR="00855E6E">
        <w:rPr>
          <w:rFonts w:ascii="Garamond" w:hAnsi="Garamond"/>
          <w:color w:val="000000" w:themeColor="text1"/>
        </w:rPr>
        <w:t xml:space="preserve">U.S. </w:t>
      </w:r>
      <w:r w:rsidR="0075067F">
        <w:rPr>
          <w:rFonts w:ascii="Garamond" w:hAnsi="Garamond"/>
          <w:color w:val="000000" w:themeColor="text1"/>
        </w:rPr>
        <w:t xml:space="preserve">oil interests. As such, discarding the K.C.C. because of its suppressed findings overlooks how the K.C.C. could have provided U.S. policymakers a unique window into nascent, security motivated oil competition. </w:t>
      </w:r>
    </w:p>
    <w:p w14:paraId="304D7F64" w14:textId="6E40B1A6" w:rsidR="005D56FC" w:rsidRPr="001B1C7A" w:rsidRDefault="0075067F" w:rsidP="000A556A">
      <w:pPr>
        <w:spacing w:line="480" w:lineRule="auto"/>
        <w:ind w:firstLine="360"/>
        <w:rPr>
          <w:color w:val="000000" w:themeColor="text1"/>
        </w:rPr>
      </w:pPr>
      <w:r>
        <w:rPr>
          <w:rFonts w:ascii="Garamond" w:hAnsi="Garamond"/>
          <w:color w:val="000000" w:themeColor="text1"/>
        </w:rPr>
        <w:t xml:space="preserve">While Europeans were conspiring to interdict the United States from Middle </w:t>
      </w:r>
      <w:r w:rsidR="00A765A6">
        <w:rPr>
          <w:rFonts w:ascii="Garamond" w:hAnsi="Garamond"/>
          <w:color w:val="000000" w:themeColor="text1"/>
        </w:rPr>
        <w:t>East</w:t>
      </w:r>
      <w:r w:rsidR="002D5A0F">
        <w:rPr>
          <w:rFonts w:ascii="Garamond" w:hAnsi="Garamond"/>
          <w:color w:val="000000" w:themeColor="text1"/>
        </w:rPr>
        <w:t>ern oil</w:t>
      </w:r>
      <w:r w:rsidR="00A765A6">
        <w:rPr>
          <w:rFonts w:ascii="Garamond" w:hAnsi="Garamond"/>
          <w:color w:val="000000" w:themeColor="text1"/>
        </w:rPr>
        <w:t>, p</w:t>
      </w:r>
      <w:r w:rsidR="00A765A6" w:rsidRPr="001B1C7A">
        <w:rPr>
          <w:rFonts w:ascii="Garamond" w:hAnsi="Garamond"/>
          <w:color w:val="000000" w:themeColor="text1"/>
        </w:rPr>
        <w:t>olicymakers</w:t>
      </w:r>
      <w:r w:rsidR="0030323A" w:rsidRPr="001B1C7A">
        <w:rPr>
          <w:rFonts w:ascii="Garamond" w:hAnsi="Garamond"/>
          <w:color w:val="000000" w:themeColor="text1"/>
        </w:rPr>
        <w:t xml:space="preserve"> in </w:t>
      </w:r>
      <w:r w:rsidR="00045017">
        <w:rPr>
          <w:rFonts w:ascii="Garamond" w:hAnsi="Garamond"/>
          <w:color w:val="000000" w:themeColor="text1"/>
        </w:rPr>
        <w:t>Washington</w:t>
      </w:r>
      <w:r w:rsidR="0030323A" w:rsidRPr="001B1C7A">
        <w:rPr>
          <w:rFonts w:ascii="Garamond" w:hAnsi="Garamond"/>
          <w:color w:val="000000" w:themeColor="text1"/>
        </w:rPr>
        <w:t xml:space="preserve"> were apprehensive of an oil shortage, which would threaten </w:t>
      </w:r>
      <w:r w:rsidR="002D5A0F">
        <w:rPr>
          <w:rFonts w:ascii="Garamond" w:hAnsi="Garamond"/>
          <w:color w:val="000000" w:themeColor="text1"/>
        </w:rPr>
        <w:t xml:space="preserve">U.S. </w:t>
      </w:r>
      <w:r w:rsidR="0030323A" w:rsidRPr="001B1C7A">
        <w:rPr>
          <w:rFonts w:ascii="Garamond" w:hAnsi="Garamond"/>
          <w:color w:val="000000" w:themeColor="text1"/>
        </w:rPr>
        <w:t xml:space="preserve">national security. </w:t>
      </w:r>
      <w:r w:rsidR="006C7101">
        <w:rPr>
          <w:rFonts w:ascii="Garamond" w:hAnsi="Garamond"/>
          <w:color w:val="000000" w:themeColor="text1"/>
        </w:rPr>
        <w:t xml:space="preserve">Upon </w:t>
      </w:r>
      <w:r w:rsidR="002D5A0F">
        <w:rPr>
          <w:rFonts w:ascii="Garamond" w:hAnsi="Garamond"/>
          <w:color w:val="000000" w:themeColor="text1"/>
        </w:rPr>
        <w:t xml:space="preserve">victory in the Spanish – American war and the </w:t>
      </w:r>
      <w:r w:rsidR="006C7101">
        <w:rPr>
          <w:rFonts w:ascii="Garamond" w:hAnsi="Garamond"/>
          <w:color w:val="000000" w:themeColor="text1"/>
        </w:rPr>
        <w:t>opening of the Panama Canal</w:t>
      </w:r>
      <w:r w:rsidR="00EF0721">
        <w:rPr>
          <w:rFonts w:ascii="Garamond" w:hAnsi="Garamond"/>
          <w:color w:val="000000" w:themeColor="text1"/>
        </w:rPr>
        <w:t>,</w:t>
      </w:r>
      <w:r w:rsidR="006F1C71">
        <w:rPr>
          <w:rFonts w:ascii="Garamond" w:hAnsi="Garamond"/>
          <w:color w:val="000000" w:themeColor="text1"/>
        </w:rPr>
        <w:t xml:space="preserve"> the U</w:t>
      </w:r>
      <w:r w:rsidR="006C7101">
        <w:rPr>
          <w:rFonts w:ascii="Garamond" w:hAnsi="Garamond"/>
          <w:color w:val="000000" w:themeColor="text1"/>
        </w:rPr>
        <w:t>nited States</w:t>
      </w:r>
      <w:r w:rsidR="006F1C71">
        <w:rPr>
          <w:rFonts w:ascii="Garamond" w:hAnsi="Garamond"/>
          <w:color w:val="000000" w:themeColor="text1"/>
        </w:rPr>
        <w:t xml:space="preserve"> </w:t>
      </w:r>
      <w:r w:rsidR="00E73989">
        <w:rPr>
          <w:rFonts w:ascii="Garamond" w:hAnsi="Garamond"/>
          <w:color w:val="000000" w:themeColor="text1"/>
        </w:rPr>
        <w:t>cemented its status as</w:t>
      </w:r>
      <w:r w:rsidR="006C7101">
        <w:rPr>
          <w:rFonts w:ascii="Garamond" w:hAnsi="Garamond"/>
          <w:color w:val="000000" w:themeColor="text1"/>
        </w:rPr>
        <w:t xml:space="preserve"> a </w:t>
      </w:r>
      <w:r w:rsidR="00EF0721">
        <w:rPr>
          <w:rFonts w:ascii="Garamond" w:hAnsi="Garamond"/>
          <w:color w:val="000000" w:themeColor="text1"/>
        </w:rPr>
        <w:t>two-ocean</w:t>
      </w:r>
      <w:r w:rsidR="006C7101">
        <w:rPr>
          <w:rFonts w:ascii="Garamond" w:hAnsi="Garamond"/>
          <w:color w:val="000000" w:themeColor="text1"/>
        </w:rPr>
        <w:t xml:space="preserve"> power. </w:t>
      </w:r>
      <w:r w:rsidR="00EF0721">
        <w:rPr>
          <w:rFonts w:ascii="Garamond" w:hAnsi="Garamond"/>
          <w:color w:val="000000" w:themeColor="text1"/>
        </w:rPr>
        <w:t xml:space="preserve">This status exacerbated tensions with Japan, </w:t>
      </w:r>
      <w:r w:rsidR="00B2147C">
        <w:rPr>
          <w:rFonts w:ascii="Garamond" w:hAnsi="Garamond"/>
          <w:color w:val="000000" w:themeColor="text1"/>
        </w:rPr>
        <w:t>who</w:t>
      </w:r>
      <w:r w:rsidR="00EF0721">
        <w:rPr>
          <w:rFonts w:ascii="Garamond" w:hAnsi="Garamond"/>
          <w:color w:val="000000" w:themeColor="text1"/>
        </w:rPr>
        <w:t xml:space="preserve"> demonstrate</w:t>
      </w:r>
      <w:r w:rsidR="002D5A0F">
        <w:rPr>
          <w:rFonts w:ascii="Garamond" w:hAnsi="Garamond"/>
          <w:color w:val="000000" w:themeColor="text1"/>
        </w:rPr>
        <w:t>d</w:t>
      </w:r>
      <w:r w:rsidR="00EF0721">
        <w:rPr>
          <w:rFonts w:ascii="Garamond" w:hAnsi="Garamond"/>
          <w:color w:val="000000" w:themeColor="text1"/>
        </w:rPr>
        <w:t xml:space="preserve"> its </w:t>
      </w:r>
      <w:r w:rsidR="002D5A0F">
        <w:rPr>
          <w:rFonts w:ascii="Garamond" w:hAnsi="Garamond"/>
          <w:color w:val="000000" w:themeColor="text1"/>
        </w:rPr>
        <w:t>P</w:t>
      </w:r>
      <w:r w:rsidR="00EF0721">
        <w:rPr>
          <w:rFonts w:ascii="Garamond" w:hAnsi="Garamond"/>
          <w:color w:val="000000" w:themeColor="text1"/>
        </w:rPr>
        <w:t>acific dominance and naval ability by trouncing Russia during the Russo – Japanese war</w:t>
      </w:r>
      <w:r w:rsidR="00A765A6">
        <w:rPr>
          <w:rFonts w:ascii="Garamond" w:hAnsi="Garamond"/>
          <w:color w:val="000000" w:themeColor="text1"/>
        </w:rPr>
        <w:t xml:space="preserve"> of 1905</w:t>
      </w:r>
      <w:r w:rsidR="00EF0721">
        <w:rPr>
          <w:rFonts w:ascii="Garamond" w:hAnsi="Garamond"/>
          <w:color w:val="000000" w:themeColor="text1"/>
        </w:rPr>
        <w:t>. T</w:t>
      </w:r>
      <w:r w:rsidR="006C7101">
        <w:rPr>
          <w:rFonts w:ascii="Garamond" w:hAnsi="Garamond"/>
          <w:color w:val="000000" w:themeColor="text1"/>
        </w:rPr>
        <w:t>he United States</w:t>
      </w:r>
      <w:r w:rsidR="00EF0721">
        <w:rPr>
          <w:rFonts w:ascii="Garamond" w:hAnsi="Garamond"/>
          <w:color w:val="000000" w:themeColor="text1"/>
        </w:rPr>
        <w:t>, however,</w:t>
      </w:r>
      <w:r w:rsidR="006F1C71">
        <w:rPr>
          <w:rFonts w:ascii="Garamond" w:hAnsi="Garamond"/>
          <w:color w:val="000000" w:themeColor="text1"/>
        </w:rPr>
        <w:t xml:space="preserve"> struggled to maintain enough coal to win war games against the Japanese</w:t>
      </w:r>
      <w:r w:rsidR="00EF0721">
        <w:rPr>
          <w:rFonts w:ascii="Garamond" w:hAnsi="Garamond"/>
          <w:color w:val="000000" w:themeColor="text1"/>
        </w:rPr>
        <w:t xml:space="preserve"> due to coal’s inefficiencies, which made oil a necessity if </w:t>
      </w:r>
      <w:r w:rsidR="00A765A6">
        <w:rPr>
          <w:rFonts w:ascii="Garamond" w:hAnsi="Garamond"/>
          <w:color w:val="000000" w:themeColor="text1"/>
        </w:rPr>
        <w:t>Washington</w:t>
      </w:r>
      <w:r w:rsidR="00EF0721">
        <w:rPr>
          <w:rFonts w:ascii="Garamond" w:hAnsi="Garamond"/>
          <w:color w:val="000000" w:themeColor="text1"/>
        </w:rPr>
        <w:t xml:space="preserve"> wished to </w:t>
      </w:r>
      <w:r w:rsidR="00E73989">
        <w:rPr>
          <w:rFonts w:ascii="Garamond" w:hAnsi="Garamond"/>
          <w:color w:val="000000" w:themeColor="text1"/>
        </w:rPr>
        <w:t>compete with</w:t>
      </w:r>
      <w:r w:rsidR="00EF0721">
        <w:rPr>
          <w:rFonts w:ascii="Garamond" w:hAnsi="Garamond"/>
          <w:color w:val="000000" w:themeColor="text1"/>
        </w:rPr>
        <w:t xml:space="preserve"> Japan in the Pacific</w:t>
      </w:r>
      <w:r w:rsidR="006F1C71">
        <w:rPr>
          <w:rFonts w:ascii="Garamond" w:hAnsi="Garamond"/>
          <w:color w:val="000000" w:themeColor="text1"/>
        </w:rPr>
        <w:t>.</w:t>
      </w:r>
      <w:r w:rsidR="00EF0721">
        <w:rPr>
          <w:rFonts w:ascii="Garamond" w:hAnsi="Garamond"/>
          <w:color w:val="000000" w:themeColor="text1"/>
        </w:rPr>
        <w:t xml:space="preserve"> Therefore, </w:t>
      </w:r>
      <w:r w:rsidR="00E73989">
        <w:rPr>
          <w:rFonts w:ascii="Garamond" w:hAnsi="Garamond"/>
          <w:color w:val="000000" w:themeColor="text1"/>
        </w:rPr>
        <w:t>European</w:t>
      </w:r>
      <w:r w:rsidR="00EF0721">
        <w:rPr>
          <w:rFonts w:ascii="Garamond" w:hAnsi="Garamond"/>
          <w:color w:val="000000" w:themeColor="text1"/>
        </w:rPr>
        <w:t xml:space="preserve"> attempts at locking the U.S. out of Middle Eastern oil, in the midst of an </w:t>
      </w:r>
      <w:r w:rsidR="00231069">
        <w:rPr>
          <w:rFonts w:ascii="Garamond" w:hAnsi="Garamond"/>
          <w:color w:val="000000" w:themeColor="text1"/>
        </w:rPr>
        <w:t>(</w:t>
      </w:r>
      <w:r w:rsidR="00EF0721">
        <w:rPr>
          <w:rFonts w:ascii="Garamond" w:hAnsi="Garamond"/>
          <w:color w:val="000000" w:themeColor="text1"/>
        </w:rPr>
        <w:t>imagined</w:t>
      </w:r>
      <w:r w:rsidR="00231069">
        <w:rPr>
          <w:rFonts w:ascii="Garamond" w:hAnsi="Garamond"/>
          <w:color w:val="000000" w:themeColor="text1"/>
        </w:rPr>
        <w:t>)</w:t>
      </w:r>
      <w:r w:rsidR="00EF0721">
        <w:rPr>
          <w:rFonts w:ascii="Garamond" w:hAnsi="Garamond"/>
          <w:color w:val="000000" w:themeColor="text1"/>
        </w:rPr>
        <w:t xml:space="preserve"> impending American-oil shortage, made Middle Eastern oil a national security issue for the U.S. </w:t>
      </w:r>
      <w:r w:rsidR="00B2147C">
        <w:rPr>
          <w:rFonts w:ascii="Garamond" w:hAnsi="Garamond"/>
          <w:color w:val="000000" w:themeColor="text1"/>
        </w:rPr>
        <w:t>With security in mi</w:t>
      </w:r>
      <w:r w:rsidR="00BF0FE2">
        <w:rPr>
          <w:rFonts w:ascii="Garamond" w:hAnsi="Garamond"/>
          <w:color w:val="000000" w:themeColor="text1"/>
        </w:rPr>
        <w:t>n</w:t>
      </w:r>
      <w:r w:rsidR="00B2147C">
        <w:rPr>
          <w:rFonts w:ascii="Garamond" w:hAnsi="Garamond"/>
          <w:color w:val="000000" w:themeColor="text1"/>
        </w:rPr>
        <w:t>d, i</w:t>
      </w:r>
      <w:r w:rsidR="00FE4769">
        <w:rPr>
          <w:rFonts w:ascii="Garamond" w:hAnsi="Garamond"/>
          <w:color w:val="000000" w:themeColor="text1"/>
        </w:rPr>
        <w:t>n 1920</w:t>
      </w:r>
      <w:r>
        <w:rPr>
          <w:rFonts w:ascii="Garamond" w:hAnsi="Garamond"/>
          <w:color w:val="000000" w:themeColor="text1"/>
        </w:rPr>
        <w:t>, s</w:t>
      </w:r>
      <w:r w:rsidR="006F1C71">
        <w:rPr>
          <w:rFonts w:ascii="Garamond" w:hAnsi="Garamond"/>
          <w:color w:val="000000" w:themeColor="text1"/>
        </w:rPr>
        <w:t xml:space="preserve">oon after the </w:t>
      </w:r>
      <w:r w:rsidR="00C6532D">
        <w:rPr>
          <w:rFonts w:ascii="Garamond" w:hAnsi="Garamond"/>
          <w:color w:val="000000" w:themeColor="text1"/>
        </w:rPr>
        <w:t>K.C.C.</w:t>
      </w:r>
      <w:r w:rsidR="006F1C71">
        <w:rPr>
          <w:rFonts w:ascii="Garamond" w:hAnsi="Garamond"/>
          <w:color w:val="000000" w:themeColor="text1"/>
        </w:rPr>
        <w:t xml:space="preserve"> returned from the Levant</w:t>
      </w:r>
      <w:r w:rsidR="00EF0721">
        <w:rPr>
          <w:rFonts w:ascii="Garamond" w:hAnsi="Garamond"/>
          <w:color w:val="000000" w:themeColor="text1"/>
        </w:rPr>
        <w:t>,</w:t>
      </w:r>
      <w:r w:rsidR="005A2633">
        <w:rPr>
          <w:rFonts w:ascii="Garamond" w:hAnsi="Garamond"/>
          <w:color w:val="000000" w:themeColor="text1"/>
        </w:rPr>
        <w:t xml:space="preserve"> U.S. policymakers sent an official note to the British Foreign Office</w:t>
      </w:r>
      <w:r w:rsidR="00B2147C">
        <w:rPr>
          <w:rFonts w:ascii="Garamond" w:hAnsi="Garamond"/>
          <w:color w:val="000000" w:themeColor="text1"/>
        </w:rPr>
        <w:t xml:space="preserve">, </w:t>
      </w:r>
      <w:r w:rsidR="005A2633">
        <w:rPr>
          <w:rFonts w:ascii="Garamond" w:hAnsi="Garamond"/>
          <w:color w:val="000000" w:themeColor="text1"/>
        </w:rPr>
        <w:t>articulating the U.S. interest in “</w:t>
      </w:r>
      <w:r w:rsidR="005A2633" w:rsidRPr="001B1C7A">
        <w:rPr>
          <w:rFonts w:ascii="Garamond" w:hAnsi="Garamond"/>
          <w:color w:val="000000" w:themeColor="text1"/>
          <w:shd w:val="clear" w:color="auto" w:fill="FFFFFF"/>
        </w:rPr>
        <w:t>equal treatment in law and in fact to the commerce of all nations</w:t>
      </w:r>
      <w:r w:rsidR="005A2633">
        <w:rPr>
          <w:rFonts w:ascii="Garamond" w:hAnsi="Garamond"/>
          <w:color w:val="000000" w:themeColor="text1"/>
          <w:shd w:val="clear" w:color="auto" w:fill="FFFFFF"/>
        </w:rPr>
        <w:t>.”</w:t>
      </w:r>
      <w:r w:rsidR="001E656F">
        <w:rPr>
          <w:rStyle w:val="FootnoteReference"/>
          <w:rFonts w:ascii="Garamond" w:hAnsi="Garamond"/>
          <w:color w:val="000000" w:themeColor="text1"/>
          <w:shd w:val="clear" w:color="auto" w:fill="FFFFFF"/>
        </w:rPr>
        <w:footnoteReference w:id="2"/>
      </w:r>
      <w:r w:rsidR="005A2633">
        <w:rPr>
          <w:rFonts w:ascii="Garamond" w:hAnsi="Garamond"/>
          <w:color w:val="000000" w:themeColor="text1"/>
        </w:rPr>
        <w:t xml:space="preserve"> This principle is also known as the Open Door policy</w:t>
      </w:r>
      <w:r w:rsidR="002D5A0F">
        <w:rPr>
          <w:rFonts w:ascii="Garamond" w:hAnsi="Garamond"/>
          <w:color w:val="000000" w:themeColor="text1"/>
        </w:rPr>
        <w:t>, and this paper will explore how the K.C.C</w:t>
      </w:r>
      <w:r w:rsidR="00231069">
        <w:rPr>
          <w:rFonts w:ascii="Garamond" w:hAnsi="Garamond"/>
          <w:color w:val="000000" w:themeColor="text1"/>
        </w:rPr>
        <w:t xml:space="preserve">, national security and oil interests </w:t>
      </w:r>
      <w:r w:rsidR="002D5A0F">
        <w:rPr>
          <w:rFonts w:ascii="Garamond" w:hAnsi="Garamond"/>
          <w:color w:val="000000" w:themeColor="text1"/>
        </w:rPr>
        <w:t xml:space="preserve">interacted with the formulation of this policy. </w:t>
      </w:r>
    </w:p>
    <w:p w14:paraId="2922D82C" w14:textId="77777777" w:rsidR="0030323A" w:rsidRDefault="0030323A" w:rsidP="0030323A">
      <w:pPr>
        <w:pStyle w:val="Heading1"/>
        <w:numPr>
          <w:ilvl w:val="0"/>
          <w:numId w:val="31"/>
        </w:numPr>
        <w:rPr>
          <w:rFonts w:ascii="Garamond" w:hAnsi="Garamond"/>
          <w:color w:val="000000" w:themeColor="text1"/>
        </w:rPr>
      </w:pPr>
      <w:bookmarkStart w:id="2" w:name="_Toc63954825"/>
      <w:bookmarkStart w:id="3" w:name="_Toc66731772"/>
      <w:r w:rsidRPr="00C104FC">
        <w:rPr>
          <w:rFonts w:ascii="Garamond" w:hAnsi="Garamond"/>
          <w:color w:val="000000" w:themeColor="text1"/>
        </w:rPr>
        <w:t>Background</w:t>
      </w:r>
      <w:bookmarkEnd w:id="2"/>
      <w:bookmarkEnd w:id="3"/>
      <w:r w:rsidRPr="00C104FC">
        <w:rPr>
          <w:rFonts w:ascii="Garamond" w:hAnsi="Garamond"/>
          <w:color w:val="000000" w:themeColor="text1"/>
        </w:rPr>
        <w:t xml:space="preserve"> </w:t>
      </w:r>
    </w:p>
    <w:p w14:paraId="38CBEA46" w14:textId="77777777" w:rsidR="0030323A" w:rsidRPr="00E92768" w:rsidRDefault="0030323A" w:rsidP="0030323A">
      <w:pPr>
        <w:rPr>
          <w:lang w:bidi="en-US"/>
        </w:rPr>
      </w:pPr>
    </w:p>
    <w:p w14:paraId="01E7548D" w14:textId="77777777" w:rsidR="0030323A" w:rsidRDefault="0030323A" w:rsidP="0030323A">
      <w:pPr>
        <w:pStyle w:val="Heading2"/>
        <w:numPr>
          <w:ilvl w:val="0"/>
          <w:numId w:val="32"/>
        </w:numPr>
        <w:rPr>
          <w:rFonts w:ascii="Garamond" w:hAnsi="Garamond"/>
          <w:color w:val="000000" w:themeColor="text1"/>
        </w:rPr>
      </w:pPr>
      <w:bookmarkStart w:id="4" w:name="_Toc66731773"/>
      <w:r w:rsidRPr="00C104FC">
        <w:rPr>
          <w:rFonts w:ascii="Garamond" w:hAnsi="Garamond"/>
          <w:color w:val="000000" w:themeColor="text1"/>
        </w:rPr>
        <w:t>The Development of Middle Eastern Oil Competition</w:t>
      </w:r>
      <w:bookmarkEnd w:id="4"/>
    </w:p>
    <w:p w14:paraId="22A365E3" w14:textId="77777777" w:rsidR="0030323A" w:rsidRPr="00E92768" w:rsidRDefault="0030323A" w:rsidP="0030323A"/>
    <w:p w14:paraId="718885F0" w14:textId="58A5AED1"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lastRenderedPageBreak/>
        <w:t>In the late 1800s, Russia, Japan, England and France had divided China into spheres of influence, giving their citizens preferential treatment</w:t>
      </w:r>
      <w:r w:rsidR="002D5A0F">
        <w:rPr>
          <w:rFonts w:ascii="Garamond" w:hAnsi="Garamond"/>
          <w:color w:val="000000" w:themeColor="text1"/>
        </w:rPr>
        <w:t xml:space="preserve"> and discriminating economically against rivals</w:t>
      </w:r>
      <w:r w:rsidRPr="001B1C7A">
        <w:rPr>
          <w:rFonts w:ascii="Garamond" w:hAnsi="Garamond"/>
          <w:color w:val="000000" w:themeColor="text1"/>
        </w:rPr>
        <w:t xml:space="preserve">. In 1899, U.S. Secretary of State John </w:t>
      </w:r>
      <w:r w:rsidR="00726104">
        <w:rPr>
          <w:rFonts w:ascii="Garamond" w:hAnsi="Garamond"/>
          <w:color w:val="000000" w:themeColor="text1"/>
        </w:rPr>
        <w:t>H</w:t>
      </w:r>
      <w:r w:rsidRPr="001B1C7A">
        <w:rPr>
          <w:rFonts w:ascii="Garamond" w:hAnsi="Garamond"/>
          <w:color w:val="000000" w:themeColor="text1"/>
        </w:rPr>
        <w:t>ay articulated America’s “</w:t>
      </w:r>
      <w:r w:rsidR="00227ABC">
        <w:rPr>
          <w:rFonts w:ascii="Garamond" w:hAnsi="Garamond"/>
          <w:color w:val="000000" w:themeColor="text1"/>
        </w:rPr>
        <w:t>Open Door</w:t>
      </w:r>
      <w:r w:rsidRPr="001B1C7A">
        <w:rPr>
          <w:rFonts w:ascii="Garamond" w:hAnsi="Garamond"/>
          <w:color w:val="000000" w:themeColor="text1"/>
        </w:rPr>
        <w:t>” policy towards China, calling for equal opportunity of commerce and trade between all interested powers</w:t>
      </w:r>
      <w:r>
        <w:rPr>
          <w:rFonts w:ascii="Garamond" w:hAnsi="Garamond"/>
          <w:color w:val="000000" w:themeColor="text1"/>
        </w:rPr>
        <w:t>.</w:t>
      </w:r>
      <w:r>
        <w:rPr>
          <w:rStyle w:val="FootnoteReference"/>
          <w:rFonts w:ascii="Garamond" w:hAnsi="Garamond"/>
          <w:color w:val="000000" w:themeColor="text1"/>
        </w:rPr>
        <w:footnoteReference w:id="3"/>
      </w:r>
      <w:r>
        <w:rPr>
          <w:rFonts w:ascii="Garamond" w:hAnsi="Garamond"/>
          <w:color w:val="000000" w:themeColor="text1"/>
        </w:rPr>
        <w:t xml:space="preserve"> </w:t>
      </w:r>
      <w:r w:rsidRPr="001B1C7A">
        <w:rPr>
          <w:rFonts w:ascii="Garamond" w:hAnsi="Garamond"/>
          <w:color w:val="000000" w:themeColor="text1"/>
        </w:rPr>
        <w:t xml:space="preserve">The U.S. found that demanding equality of economic opportunity </w:t>
      </w:r>
      <w:r w:rsidR="002D5A0F">
        <w:rPr>
          <w:rFonts w:ascii="Garamond" w:hAnsi="Garamond"/>
          <w:color w:val="000000" w:themeColor="text1"/>
        </w:rPr>
        <w:t>helped</w:t>
      </w:r>
      <w:r w:rsidR="002D5A0F" w:rsidRPr="001B1C7A">
        <w:rPr>
          <w:rFonts w:ascii="Garamond" w:hAnsi="Garamond"/>
          <w:color w:val="000000" w:themeColor="text1"/>
        </w:rPr>
        <w:t xml:space="preserve"> </w:t>
      </w:r>
      <w:r w:rsidRPr="001B1C7A">
        <w:rPr>
          <w:rFonts w:ascii="Garamond" w:hAnsi="Garamond"/>
          <w:color w:val="000000" w:themeColor="text1"/>
        </w:rPr>
        <w:t>its businesses enter the discriminatory Chinese market. Twenty years later, successive administrations would apply the Open</w:t>
      </w:r>
      <w:r w:rsidR="00577E4F">
        <w:rPr>
          <w:rFonts w:ascii="Garamond" w:hAnsi="Garamond"/>
          <w:color w:val="000000" w:themeColor="text1"/>
        </w:rPr>
        <w:t xml:space="preserve"> </w:t>
      </w:r>
      <w:r w:rsidRPr="001B1C7A">
        <w:rPr>
          <w:rFonts w:ascii="Garamond" w:hAnsi="Garamond"/>
          <w:color w:val="000000" w:themeColor="text1"/>
        </w:rPr>
        <w:t>Door policy to regions such as Indonesia, Russia, Latin America and the Middle East. The Open</w:t>
      </w:r>
      <w:r w:rsidR="00577E4F">
        <w:rPr>
          <w:rFonts w:ascii="Garamond" w:hAnsi="Garamond"/>
          <w:color w:val="000000" w:themeColor="text1"/>
        </w:rPr>
        <w:t xml:space="preserve"> </w:t>
      </w:r>
      <w:r w:rsidRPr="001B1C7A">
        <w:rPr>
          <w:rFonts w:ascii="Garamond" w:hAnsi="Garamond"/>
          <w:color w:val="000000" w:themeColor="text1"/>
        </w:rPr>
        <w:t>Door policy proved useful when the U</w:t>
      </w:r>
      <w:r w:rsidR="00045017">
        <w:rPr>
          <w:rFonts w:ascii="Garamond" w:hAnsi="Garamond"/>
          <w:color w:val="000000" w:themeColor="text1"/>
        </w:rPr>
        <w:t>nited States</w:t>
      </w:r>
      <w:r w:rsidRPr="001B1C7A">
        <w:rPr>
          <w:rFonts w:ascii="Garamond" w:hAnsi="Garamond"/>
          <w:color w:val="000000" w:themeColor="text1"/>
        </w:rPr>
        <w:t xml:space="preserve">, late to the international stage, found that European policymakers had erected economic barriers to U.S. firms in the Middle East. </w:t>
      </w:r>
    </w:p>
    <w:p w14:paraId="5B34B480" w14:textId="73FA8BCD" w:rsidR="0030323A" w:rsidRPr="001B1C7A" w:rsidRDefault="0030323A" w:rsidP="00680558">
      <w:pPr>
        <w:spacing w:line="480" w:lineRule="auto"/>
        <w:ind w:firstLine="360"/>
        <w:rPr>
          <w:rFonts w:ascii="Garamond" w:hAnsi="Garamond"/>
          <w:color w:val="000000" w:themeColor="text1"/>
        </w:rPr>
      </w:pPr>
      <w:r w:rsidRPr="001B1C7A">
        <w:rPr>
          <w:rFonts w:ascii="Garamond" w:hAnsi="Garamond"/>
          <w:color w:val="000000" w:themeColor="text1"/>
        </w:rPr>
        <w:t xml:space="preserve">At the turn of the </w:t>
      </w:r>
      <w:r w:rsidR="00045017">
        <w:rPr>
          <w:rFonts w:ascii="Garamond" w:hAnsi="Garamond"/>
          <w:color w:val="000000" w:themeColor="text1"/>
        </w:rPr>
        <w:t>20</w:t>
      </w:r>
      <w:r w:rsidRPr="001B1C7A">
        <w:rPr>
          <w:rFonts w:ascii="Garamond" w:hAnsi="Garamond"/>
          <w:color w:val="000000" w:themeColor="text1"/>
          <w:vertAlign w:val="superscript"/>
        </w:rPr>
        <w:t>th</w:t>
      </w:r>
      <w:r w:rsidRPr="001B1C7A">
        <w:rPr>
          <w:rFonts w:ascii="Garamond" w:hAnsi="Garamond"/>
          <w:color w:val="000000" w:themeColor="text1"/>
        </w:rPr>
        <w:t xml:space="preserve"> century, </w:t>
      </w:r>
      <w:r w:rsidR="002D5A0F">
        <w:rPr>
          <w:rFonts w:ascii="Garamond" w:hAnsi="Garamond"/>
          <w:color w:val="000000" w:themeColor="text1"/>
        </w:rPr>
        <w:t xml:space="preserve">intense </w:t>
      </w:r>
      <w:r w:rsidRPr="001B1C7A">
        <w:rPr>
          <w:rFonts w:ascii="Garamond" w:hAnsi="Garamond"/>
          <w:color w:val="000000" w:themeColor="text1"/>
        </w:rPr>
        <w:t xml:space="preserve">oil competition emerged in the Middle East. In 1888, </w:t>
      </w:r>
      <w:r w:rsidRPr="001B1C7A">
        <w:rPr>
          <w:rFonts w:ascii="Garamond" w:hAnsi="Garamond"/>
          <w:i/>
          <w:iCs/>
          <w:color w:val="000000" w:themeColor="text1"/>
        </w:rPr>
        <w:t xml:space="preserve">Chemins de Fer Ottoman Anatolia (CFOA), </w:t>
      </w:r>
      <w:r w:rsidRPr="001B1C7A">
        <w:rPr>
          <w:rFonts w:ascii="Garamond" w:hAnsi="Garamond"/>
          <w:color w:val="000000" w:themeColor="text1"/>
        </w:rPr>
        <w:t>or the Anatolian Railway Company, a subsidiary of the German Deutsche Bank, received a concession to connect the Haider – Pasha Ismid railway to Angora</w:t>
      </w:r>
      <w:r w:rsidRPr="001B1C7A">
        <w:rPr>
          <w:rStyle w:val="FootnoteReference"/>
          <w:rFonts w:ascii="Garamond" w:hAnsi="Garamond"/>
          <w:color w:val="000000" w:themeColor="text1"/>
        </w:rPr>
        <w:footnoteReference w:id="4"/>
      </w:r>
      <w:r w:rsidRPr="001B1C7A">
        <w:rPr>
          <w:rFonts w:ascii="Garamond" w:hAnsi="Garamond"/>
          <w:color w:val="000000" w:themeColor="text1"/>
        </w:rPr>
        <w:t>, also providing the option to connect the route with the Persian Gulf.</w:t>
      </w:r>
      <w:r>
        <w:rPr>
          <w:rStyle w:val="FootnoteReference"/>
          <w:rFonts w:ascii="Garamond" w:hAnsi="Garamond"/>
          <w:color w:val="000000" w:themeColor="text1"/>
        </w:rPr>
        <w:footnoteReference w:id="5"/>
      </w:r>
      <w:r w:rsidRPr="001B1C7A">
        <w:rPr>
          <w:rFonts w:ascii="Garamond" w:hAnsi="Garamond"/>
          <w:color w:val="000000" w:themeColor="text1"/>
        </w:rPr>
        <w:t xml:space="preserve"> </w:t>
      </w:r>
      <w:r w:rsidR="00045017">
        <w:rPr>
          <w:rFonts w:ascii="Garamond" w:hAnsi="Garamond"/>
          <w:color w:val="000000" w:themeColor="text1"/>
        </w:rPr>
        <w:t xml:space="preserve">This concession concerned England and France, as it also gave the </w:t>
      </w:r>
      <w:r w:rsidRPr="001B1C7A">
        <w:rPr>
          <w:rFonts w:ascii="Garamond" w:hAnsi="Garamond"/>
          <w:color w:val="000000" w:themeColor="text1"/>
        </w:rPr>
        <w:t>CFOA</w:t>
      </w:r>
      <w:r w:rsidR="00045017">
        <w:rPr>
          <w:rFonts w:ascii="Garamond" w:hAnsi="Garamond"/>
          <w:color w:val="000000" w:themeColor="text1"/>
        </w:rPr>
        <w:t xml:space="preserve"> </w:t>
      </w:r>
      <w:r w:rsidRPr="001B1C7A">
        <w:rPr>
          <w:rFonts w:ascii="Garamond" w:hAnsi="Garamond"/>
          <w:color w:val="000000" w:themeColor="text1"/>
        </w:rPr>
        <w:t xml:space="preserve">preferential mining rights that extended for 20 kilometers </w:t>
      </w:r>
      <w:r w:rsidR="00045017">
        <w:rPr>
          <w:rFonts w:ascii="Garamond" w:hAnsi="Garamond"/>
          <w:color w:val="000000" w:themeColor="text1"/>
        </w:rPr>
        <w:t>along</w:t>
      </w:r>
      <w:r w:rsidRPr="001B1C7A">
        <w:rPr>
          <w:rFonts w:ascii="Garamond" w:hAnsi="Garamond"/>
          <w:color w:val="000000" w:themeColor="text1"/>
        </w:rPr>
        <w:t xml:space="preserve"> each side of the railway. In 1903, the CFOA, under these mining rights, began conducting surveys for oil around the Mosul and Baghdad vilayets</w:t>
      </w:r>
      <w:r w:rsidR="001E656F">
        <w:rPr>
          <w:rFonts w:ascii="Garamond" w:hAnsi="Garamond"/>
          <w:color w:val="000000" w:themeColor="text1"/>
        </w:rPr>
        <w:t>.</w:t>
      </w:r>
      <w:r w:rsidRPr="001B1C7A">
        <w:rPr>
          <w:rStyle w:val="FootnoteReference"/>
          <w:rFonts w:ascii="Garamond" w:hAnsi="Garamond"/>
          <w:color w:val="000000" w:themeColor="text1"/>
        </w:rPr>
        <w:footnoteReference w:id="6"/>
      </w:r>
      <w:r w:rsidRPr="001B1C7A">
        <w:rPr>
          <w:rFonts w:ascii="Garamond" w:hAnsi="Garamond"/>
          <w:color w:val="000000" w:themeColor="text1"/>
        </w:rPr>
        <w:t xml:space="preserve"> In 1901, meanwhile, British </w:t>
      </w:r>
      <w:r w:rsidR="001E3C24">
        <w:rPr>
          <w:rFonts w:ascii="Garamond" w:hAnsi="Garamond"/>
          <w:color w:val="000000" w:themeColor="text1"/>
        </w:rPr>
        <w:t xml:space="preserve">entrepreneur </w:t>
      </w:r>
      <w:r w:rsidRPr="001B1C7A">
        <w:rPr>
          <w:rFonts w:ascii="Garamond" w:hAnsi="Garamond"/>
          <w:color w:val="000000" w:themeColor="text1"/>
        </w:rPr>
        <w:t xml:space="preserve">William Knox D’Arcy </w:t>
      </w:r>
      <w:r w:rsidR="00045017">
        <w:rPr>
          <w:rFonts w:ascii="Garamond" w:hAnsi="Garamond"/>
          <w:color w:val="000000" w:themeColor="text1"/>
        </w:rPr>
        <w:t xml:space="preserve">had </w:t>
      </w:r>
      <w:r w:rsidRPr="001B1C7A">
        <w:rPr>
          <w:rFonts w:ascii="Garamond" w:hAnsi="Garamond"/>
          <w:color w:val="000000" w:themeColor="text1"/>
        </w:rPr>
        <w:t xml:space="preserve">obtained a concession for oil in Persia and was </w:t>
      </w:r>
      <w:r w:rsidR="00045017">
        <w:rPr>
          <w:rFonts w:ascii="Garamond" w:hAnsi="Garamond"/>
          <w:color w:val="000000" w:themeColor="text1"/>
        </w:rPr>
        <w:t>eager</w:t>
      </w:r>
      <w:r w:rsidRPr="001B1C7A">
        <w:rPr>
          <w:rFonts w:ascii="Garamond" w:hAnsi="Garamond"/>
          <w:color w:val="000000" w:themeColor="text1"/>
        </w:rPr>
        <w:t xml:space="preserve"> to expand his reach. D’Arcy began receiving </w:t>
      </w:r>
      <w:r w:rsidR="002D5A0F">
        <w:rPr>
          <w:rFonts w:ascii="Garamond" w:hAnsi="Garamond"/>
          <w:color w:val="000000" w:themeColor="text1"/>
        </w:rPr>
        <w:t xml:space="preserve">subtle </w:t>
      </w:r>
      <w:r w:rsidRPr="001B1C7A">
        <w:rPr>
          <w:rFonts w:ascii="Garamond" w:hAnsi="Garamond"/>
          <w:color w:val="000000" w:themeColor="text1"/>
        </w:rPr>
        <w:t xml:space="preserve">British Foreign Office support in 1904 and </w:t>
      </w:r>
      <w:r w:rsidR="002D5A0F">
        <w:rPr>
          <w:rFonts w:ascii="Garamond" w:hAnsi="Garamond"/>
          <w:color w:val="000000" w:themeColor="text1"/>
        </w:rPr>
        <w:t xml:space="preserve">then </w:t>
      </w:r>
      <w:r w:rsidRPr="001B1C7A">
        <w:rPr>
          <w:rFonts w:ascii="Garamond" w:hAnsi="Garamond"/>
          <w:color w:val="000000" w:themeColor="text1"/>
        </w:rPr>
        <w:t>founded the Anglo – Persian Oil Company.</w:t>
      </w:r>
      <w:r w:rsidRPr="00A10907">
        <w:rPr>
          <w:rStyle w:val="FootnoteReference"/>
          <w:rFonts w:ascii="Garamond" w:hAnsi="Garamond"/>
          <w:color w:val="000000" w:themeColor="text1"/>
        </w:rPr>
        <w:t xml:space="preserve"> </w:t>
      </w:r>
      <w:r w:rsidRPr="001B1C7A">
        <w:rPr>
          <w:rStyle w:val="FootnoteReference"/>
          <w:rFonts w:ascii="Garamond" w:hAnsi="Garamond"/>
          <w:color w:val="000000" w:themeColor="text1"/>
        </w:rPr>
        <w:footnoteReference w:id="7"/>
      </w:r>
    </w:p>
    <w:p w14:paraId="0FFD8332" w14:textId="4EEDCDB4" w:rsidR="0030323A" w:rsidRPr="001B1C7A" w:rsidRDefault="002D5A0F" w:rsidP="0030323A">
      <w:pPr>
        <w:spacing w:line="480" w:lineRule="auto"/>
        <w:ind w:firstLine="360"/>
        <w:rPr>
          <w:rFonts w:ascii="Garamond" w:hAnsi="Garamond"/>
          <w:color w:val="000000" w:themeColor="text1"/>
        </w:rPr>
      </w:pPr>
      <w:r>
        <w:rPr>
          <w:rFonts w:ascii="Garamond" w:hAnsi="Garamond"/>
          <w:color w:val="000000" w:themeColor="text1"/>
        </w:rPr>
        <w:t>D</w:t>
      </w:r>
      <w:r w:rsidR="0030323A" w:rsidRPr="001B1C7A">
        <w:rPr>
          <w:rFonts w:ascii="Garamond" w:hAnsi="Garamond"/>
          <w:color w:val="000000" w:themeColor="text1"/>
        </w:rPr>
        <w:t xml:space="preserve">ithering by the CFOA regarding oil surveys along the railway </w:t>
      </w:r>
      <w:r w:rsidR="00E73989">
        <w:rPr>
          <w:rFonts w:ascii="Garamond" w:hAnsi="Garamond"/>
          <w:color w:val="000000" w:themeColor="text1"/>
        </w:rPr>
        <w:t xml:space="preserve">concession </w:t>
      </w:r>
      <w:r>
        <w:rPr>
          <w:rFonts w:ascii="Garamond" w:hAnsi="Garamond"/>
          <w:color w:val="000000" w:themeColor="text1"/>
        </w:rPr>
        <w:t>reinvigorated competition between</w:t>
      </w:r>
      <w:r w:rsidRPr="001B1C7A">
        <w:rPr>
          <w:rFonts w:ascii="Garamond" w:hAnsi="Garamond"/>
          <w:color w:val="000000" w:themeColor="text1"/>
        </w:rPr>
        <w:t xml:space="preserve"> </w:t>
      </w:r>
      <w:r>
        <w:rPr>
          <w:rFonts w:ascii="Garamond" w:hAnsi="Garamond"/>
          <w:color w:val="000000" w:themeColor="text1"/>
        </w:rPr>
        <w:t xml:space="preserve">the </w:t>
      </w:r>
      <w:r w:rsidR="0030323A" w:rsidRPr="001B1C7A">
        <w:rPr>
          <w:rFonts w:ascii="Garamond" w:hAnsi="Garamond"/>
          <w:color w:val="000000" w:themeColor="text1"/>
        </w:rPr>
        <w:t xml:space="preserve">British, </w:t>
      </w:r>
      <w:r>
        <w:rPr>
          <w:rFonts w:ascii="Garamond" w:hAnsi="Garamond"/>
          <w:color w:val="000000" w:themeColor="text1"/>
        </w:rPr>
        <w:t xml:space="preserve">French, </w:t>
      </w:r>
      <w:r w:rsidR="0030323A" w:rsidRPr="001B1C7A">
        <w:rPr>
          <w:rFonts w:ascii="Garamond" w:hAnsi="Garamond"/>
          <w:color w:val="000000" w:themeColor="text1"/>
        </w:rPr>
        <w:t>German</w:t>
      </w:r>
      <w:r>
        <w:rPr>
          <w:rFonts w:ascii="Garamond" w:hAnsi="Garamond"/>
          <w:color w:val="000000" w:themeColor="text1"/>
        </w:rPr>
        <w:t>s</w:t>
      </w:r>
      <w:r w:rsidR="0030323A" w:rsidRPr="001B1C7A">
        <w:rPr>
          <w:rFonts w:ascii="Garamond" w:hAnsi="Garamond"/>
          <w:color w:val="000000" w:themeColor="text1"/>
        </w:rPr>
        <w:t xml:space="preserve"> </w:t>
      </w:r>
      <w:r>
        <w:rPr>
          <w:rFonts w:ascii="Garamond" w:hAnsi="Garamond"/>
          <w:color w:val="000000" w:themeColor="text1"/>
        </w:rPr>
        <w:t xml:space="preserve">and Americans </w:t>
      </w:r>
      <w:r w:rsidRPr="001B1C7A">
        <w:rPr>
          <w:rFonts w:ascii="Garamond" w:hAnsi="Garamond"/>
          <w:color w:val="000000" w:themeColor="text1"/>
        </w:rPr>
        <w:t xml:space="preserve">to receive an oil concession in </w:t>
      </w:r>
      <w:r w:rsidRPr="001B1C7A">
        <w:rPr>
          <w:rFonts w:ascii="Garamond" w:hAnsi="Garamond"/>
          <w:color w:val="000000" w:themeColor="text1"/>
        </w:rPr>
        <w:lastRenderedPageBreak/>
        <w:t>Mesopotamia</w:t>
      </w:r>
      <w:r w:rsidR="0030323A" w:rsidRPr="001B1C7A">
        <w:rPr>
          <w:rFonts w:ascii="Garamond" w:hAnsi="Garamond"/>
          <w:color w:val="000000" w:themeColor="text1"/>
        </w:rPr>
        <w:t xml:space="preserve">. In 1909, </w:t>
      </w:r>
      <w:r w:rsidRPr="001B1C7A">
        <w:rPr>
          <w:rFonts w:ascii="Garamond" w:hAnsi="Garamond"/>
          <w:color w:val="000000" w:themeColor="text1"/>
        </w:rPr>
        <w:t xml:space="preserve">former </w:t>
      </w:r>
      <w:r w:rsidR="0030323A" w:rsidRPr="001B1C7A">
        <w:rPr>
          <w:rFonts w:ascii="Garamond" w:hAnsi="Garamond"/>
          <w:color w:val="000000" w:themeColor="text1"/>
        </w:rPr>
        <w:t>American Admiral Colby M. Chester won a railway concession from Aleppo to Alexandretta</w:t>
      </w:r>
      <w:r w:rsidR="00926465">
        <w:rPr>
          <w:rStyle w:val="FootnoteReference"/>
          <w:rFonts w:ascii="Garamond" w:hAnsi="Garamond"/>
          <w:color w:val="000000" w:themeColor="text1"/>
        </w:rPr>
        <w:footnoteReference w:id="8"/>
      </w:r>
      <w:r w:rsidR="001E3C24">
        <w:rPr>
          <w:rFonts w:ascii="Garamond" w:hAnsi="Garamond"/>
          <w:color w:val="000000" w:themeColor="text1"/>
        </w:rPr>
        <w:t>-</w:t>
      </w:r>
      <w:r w:rsidR="0030323A" w:rsidRPr="001B1C7A">
        <w:rPr>
          <w:rFonts w:ascii="Garamond" w:hAnsi="Garamond"/>
          <w:color w:val="000000" w:themeColor="text1"/>
        </w:rPr>
        <w:t xml:space="preserve"> </w:t>
      </w:r>
      <w:r w:rsidR="001E3C24">
        <w:rPr>
          <w:rFonts w:ascii="Garamond" w:hAnsi="Garamond"/>
          <w:color w:val="000000" w:themeColor="text1"/>
        </w:rPr>
        <w:t>he</w:t>
      </w:r>
      <w:r w:rsidR="00E73989">
        <w:rPr>
          <w:rFonts w:ascii="Garamond" w:hAnsi="Garamond"/>
          <w:color w:val="000000" w:themeColor="text1"/>
        </w:rPr>
        <w:t xml:space="preserve"> received</w:t>
      </w:r>
      <w:r w:rsidR="00E73989" w:rsidRPr="001B1C7A">
        <w:rPr>
          <w:rFonts w:ascii="Garamond" w:hAnsi="Garamond"/>
          <w:color w:val="000000" w:themeColor="text1"/>
        </w:rPr>
        <w:t xml:space="preserve"> </w:t>
      </w:r>
      <w:r w:rsidR="001E3C24">
        <w:rPr>
          <w:rFonts w:ascii="Garamond" w:hAnsi="Garamond"/>
          <w:color w:val="000000" w:themeColor="text1"/>
        </w:rPr>
        <w:t>meager</w:t>
      </w:r>
      <w:r w:rsidR="00E73989" w:rsidRPr="001B1C7A">
        <w:rPr>
          <w:rFonts w:ascii="Garamond" w:hAnsi="Garamond"/>
          <w:color w:val="000000" w:themeColor="text1"/>
        </w:rPr>
        <w:t xml:space="preserve"> </w:t>
      </w:r>
      <w:r w:rsidR="0030323A" w:rsidRPr="001B1C7A">
        <w:rPr>
          <w:rFonts w:ascii="Garamond" w:hAnsi="Garamond"/>
          <w:color w:val="000000" w:themeColor="text1"/>
        </w:rPr>
        <w:t>backing from the State Department.</w:t>
      </w:r>
      <w:r w:rsidR="0030323A">
        <w:rPr>
          <w:rStyle w:val="FootnoteReference"/>
          <w:rFonts w:ascii="Garamond" w:hAnsi="Garamond"/>
          <w:color w:val="000000" w:themeColor="text1"/>
        </w:rPr>
        <w:footnoteReference w:id="9"/>
      </w:r>
      <w:r w:rsidR="0030323A" w:rsidRPr="001B1C7A">
        <w:rPr>
          <w:rFonts w:ascii="Garamond" w:hAnsi="Garamond"/>
          <w:color w:val="000000" w:themeColor="text1"/>
        </w:rPr>
        <w:t xml:space="preserve"> The </w:t>
      </w:r>
      <w:r w:rsidR="009678D4">
        <w:rPr>
          <w:rFonts w:ascii="Garamond" w:hAnsi="Garamond"/>
          <w:color w:val="000000" w:themeColor="text1"/>
        </w:rPr>
        <w:t>Ottomans</w:t>
      </w:r>
      <w:r w:rsidR="0030323A" w:rsidRPr="001B1C7A">
        <w:rPr>
          <w:rFonts w:ascii="Garamond" w:hAnsi="Garamond"/>
          <w:color w:val="000000" w:themeColor="text1"/>
        </w:rPr>
        <w:t>, however, postponed a vote on the issue, again raising</w:t>
      </w:r>
      <w:r w:rsidR="0030323A">
        <w:rPr>
          <w:rFonts w:ascii="Garamond" w:hAnsi="Garamond"/>
          <w:color w:val="000000" w:themeColor="text1"/>
        </w:rPr>
        <w:t xml:space="preserve"> </w:t>
      </w:r>
      <w:r w:rsidR="0030323A" w:rsidRPr="001B1C7A">
        <w:rPr>
          <w:rFonts w:ascii="Garamond" w:hAnsi="Garamond"/>
          <w:color w:val="000000" w:themeColor="text1"/>
        </w:rPr>
        <w:t xml:space="preserve">and lowering hopes </w:t>
      </w:r>
      <w:r w:rsidR="001E3C24">
        <w:rPr>
          <w:rFonts w:ascii="Garamond" w:hAnsi="Garamond"/>
          <w:color w:val="000000" w:themeColor="text1"/>
        </w:rPr>
        <w:t>about</w:t>
      </w:r>
      <w:r w:rsidR="0030323A" w:rsidRPr="001B1C7A">
        <w:rPr>
          <w:rFonts w:ascii="Garamond" w:hAnsi="Garamond"/>
          <w:color w:val="000000" w:themeColor="text1"/>
        </w:rPr>
        <w:t xml:space="preserve"> the concession. </w:t>
      </w:r>
    </w:p>
    <w:p w14:paraId="0B9ECFD6" w14:textId="7364C8CE"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shd w:val="clear" w:color="auto" w:fill="FFFFFF"/>
        </w:rPr>
        <w:t>In 191</w:t>
      </w:r>
      <w:r w:rsidR="00C137FB">
        <w:rPr>
          <w:rFonts w:ascii="Garamond" w:hAnsi="Garamond"/>
          <w:color w:val="000000" w:themeColor="text1"/>
          <w:shd w:val="clear" w:color="auto" w:fill="FFFFFF"/>
        </w:rPr>
        <w:t>1</w:t>
      </w:r>
      <w:r w:rsidRPr="001B1C7A">
        <w:rPr>
          <w:rFonts w:ascii="Garamond" w:hAnsi="Garamond"/>
          <w:color w:val="000000" w:themeColor="text1"/>
          <w:shd w:val="clear" w:color="auto" w:fill="FFFFFF"/>
        </w:rPr>
        <w:t xml:space="preserve">, the </w:t>
      </w:r>
      <w:r w:rsidR="00045017">
        <w:rPr>
          <w:rFonts w:ascii="Garamond" w:hAnsi="Garamond"/>
          <w:color w:val="000000" w:themeColor="text1"/>
          <w:shd w:val="clear" w:color="auto" w:fill="FFFFFF"/>
        </w:rPr>
        <w:t>United States</w:t>
      </w:r>
      <w:r w:rsidRPr="001B1C7A">
        <w:rPr>
          <w:rFonts w:ascii="Garamond" w:hAnsi="Garamond"/>
          <w:color w:val="000000" w:themeColor="text1"/>
          <w:shd w:val="clear" w:color="auto" w:fill="FFFFFF"/>
        </w:rPr>
        <w:t xml:space="preserve"> </w:t>
      </w:r>
      <w:r w:rsidR="00537B90">
        <w:rPr>
          <w:rFonts w:ascii="Garamond" w:hAnsi="Garamond"/>
          <w:color w:val="000000" w:themeColor="text1"/>
          <w:shd w:val="clear" w:color="auto" w:fill="FFFFFF"/>
        </w:rPr>
        <w:t xml:space="preserve">began fueling its </w:t>
      </w:r>
      <w:r w:rsidR="002D5A0F">
        <w:rPr>
          <w:rFonts w:ascii="Garamond" w:hAnsi="Garamond"/>
          <w:color w:val="000000" w:themeColor="text1"/>
          <w:shd w:val="clear" w:color="auto" w:fill="FFFFFF"/>
        </w:rPr>
        <w:t>certain</w:t>
      </w:r>
      <w:r w:rsidR="00537B90">
        <w:rPr>
          <w:rFonts w:ascii="Garamond" w:hAnsi="Garamond"/>
          <w:color w:val="000000" w:themeColor="text1"/>
          <w:shd w:val="clear" w:color="auto" w:fill="FFFFFF"/>
        </w:rPr>
        <w:t xml:space="preserve"> ships in its navy with oil</w:t>
      </w:r>
      <w:r w:rsidRPr="001B1C7A">
        <w:rPr>
          <w:rFonts w:ascii="Garamond" w:hAnsi="Garamond"/>
          <w:color w:val="000000" w:themeColor="text1"/>
          <w:shd w:val="clear" w:color="auto" w:fill="FFFFFF"/>
        </w:rPr>
        <w:t xml:space="preserve"> because of the efficiencies and logistical advantages </w:t>
      </w:r>
      <w:r w:rsidR="001E3C24">
        <w:rPr>
          <w:rFonts w:ascii="Garamond" w:hAnsi="Garamond"/>
          <w:color w:val="000000" w:themeColor="text1"/>
          <w:shd w:val="clear" w:color="auto" w:fill="FFFFFF"/>
        </w:rPr>
        <w:t>for</w:t>
      </w:r>
      <w:r w:rsidRPr="001B1C7A">
        <w:rPr>
          <w:rFonts w:ascii="Garamond" w:hAnsi="Garamond"/>
          <w:color w:val="000000" w:themeColor="text1"/>
          <w:shd w:val="clear" w:color="auto" w:fill="FFFFFF"/>
        </w:rPr>
        <w:t xml:space="preserve"> </w:t>
      </w:r>
      <w:r w:rsidR="001E3C24">
        <w:rPr>
          <w:rFonts w:ascii="Garamond" w:hAnsi="Garamond"/>
          <w:color w:val="000000" w:themeColor="text1"/>
          <w:shd w:val="clear" w:color="auto" w:fill="FFFFFF"/>
        </w:rPr>
        <w:t>naval operations in the Pacific</w:t>
      </w:r>
      <w:r w:rsidRPr="001B1C7A">
        <w:rPr>
          <w:rFonts w:ascii="Garamond" w:hAnsi="Garamond"/>
          <w:color w:val="000000" w:themeColor="text1"/>
          <w:shd w:val="clear" w:color="auto" w:fill="FFFFFF"/>
        </w:rPr>
        <w:t>.</w:t>
      </w:r>
      <w:r>
        <w:rPr>
          <w:rStyle w:val="FootnoteReference"/>
          <w:rFonts w:ascii="Garamond" w:hAnsi="Garamond"/>
          <w:color w:val="000000" w:themeColor="text1"/>
          <w:shd w:val="clear" w:color="auto" w:fill="FFFFFF"/>
        </w:rPr>
        <w:footnoteReference w:id="10"/>
      </w:r>
      <w:r w:rsidRPr="001B1C7A">
        <w:rPr>
          <w:rFonts w:ascii="Garamond" w:hAnsi="Garamond"/>
          <w:color w:val="000000" w:themeColor="text1"/>
          <w:shd w:val="clear" w:color="auto" w:fill="FFFFFF"/>
        </w:rPr>
        <w:t xml:space="preserve"> Winston Churchill, then First Chancellor of the British Admiralty, also recognized the advantage oil would provide the British in combating the Germans. </w:t>
      </w:r>
      <w:r w:rsidR="002D5A0F">
        <w:rPr>
          <w:rFonts w:ascii="Garamond" w:hAnsi="Garamond"/>
          <w:color w:val="000000" w:themeColor="text1"/>
          <w:shd w:val="clear" w:color="auto" w:fill="FFFFFF"/>
        </w:rPr>
        <w:t>The British had already beg</w:t>
      </w:r>
      <w:r w:rsidR="00E73989">
        <w:rPr>
          <w:rFonts w:ascii="Garamond" w:hAnsi="Garamond"/>
          <w:color w:val="000000" w:themeColor="text1"/>
          <w:shd w:val="clear" w:color="auto" w:fill="FFFFFF"/>
        </w:rPr>
        <w:t>u</w:t>
      </w:r>
      <w:r w:rsidR="002D5A0F">
        <w:rPr>
          <w:rFonts w:ascii="Garamond" w:hAnsi="Garamond"/>
          <w:color w:val="000000" w:themeColor="text1"/>
          <w:shd w:val="clear" w:color="auto" w:fill="FFFFFF"/>
        </w:rPr>
        <w:t xml:space="preserve">n switching some of their fleet to oil in the early 1900s. </w:t>
      </w:r>
      <w:r>
        <w:rPr>
          <w:rFonts w:ascii="Garamond" w:hAnsi="Garamond"/>
          <w:color w:val="000000" w:themeColor="text1"/>
          <w:shd w:val="clear" w:color="auto" w:fill="FFFFFF"/>
        </w:rPr>
        <w:t>The f</w:t>
      </w:r>
      <w:r w:rsidRPr="001B1C7A">
        <w:rPr>
          <w:rFonts w:ascii="Garamond" w:hAnsi="Garamond"/>
          <w:color w:val="000000" w:themeColor="text1"/>
          <w:shd w:val="clear" w:color="auto" w:fill="FFFFFF"/>
        </w:rPr>
        <w:t xml:space="preserve">aster, </w:t>
      </w:r>
      <w:r>
        <w:rPr>
          <w:rFonts w:ascii="Garamond" w:hAnsi="Garamond"/>
          <w:color w:val="000000" w:themeColor="text1"/>
          <w:shd w:val="clear" w:color="auto" w:fill="FFFFFF"/>
        </w:rPr>
        <w:t xml:space="preserve">more efficient </w:t>
      </w:r>
      <w:r w:rsidRPr="001B1C7A">
        <w:rPr>
          <w:rFonts w:ascii="Garamond" w:hAnsi="Garamond"/>
          <w:color w:val="000000" w:themeColor="text1"/>
          <w:shd w:val="clear" w:color="auto" w:fill="FFFFFF"/>
        </w:rPr>
        <w:t xml:space="preserve">oil-fueled Royal Navy </w:t>
      </w:r>
      <w:r>
        <w:rPr>
          <w:rFonts w:ascii="Garamond" w:hAnsi="Garamond"/>
          <w:color w:val="000000" w:themeColor="text1"/>
          <w:shd w:val="clear" w:color="auto" w:fill="FFFFFF"/>
        </w:rPr>
        <w:t>would</w:t>
      </w:r>
      <w:r w:rsidRPr="001B1C7A">
        <w:rPr>
          <w:rFonts w:ascii="Garamond" w:hAnsi="Garamond"/>
          <w:color w:val="000000" w:themeColor="text1"/>
          <w:shd w:val="clear" w:color="auto" w:fill="FFFFFF"/>
        </w:rPr>
        <w:t xml:space="preserve"> obliterate coal-powered German</w:t>
      </w:r>
      <w:r w:rsidR="009678D4">
        <w:rPr>
          <w:rFonts w:ascii="Garamond" w:hAnsi="Garamond"/>
          <w:color w:val="000000" w:themeColor="text1"/>
          <w:shd w:val="clear" w:color="auto" w:fill="FFFFFF"/>
        </w:rPr>
        <w:t xml:space="preserve"> ships</w:t>
      </w:r>
      <w:r>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in World War I.</w:t>
      </w:r>
      <w:r>
        <w:rPr>
          <w:rStyle w:val="FootnoteReference"/>
          <w:rFonts w:ascii="Garamond" w:hAnsi="Garamond"/>
          <w:color w:val="000000" w:themeColor="text1"/>
          <w:shd w:val="clear" w:color="auto" w:fill="FFFFFF"/>
        </w:rPr>
        <w:footnoteReference w:id="11"/>
      </w:r>
      <w:r w:rsidRPr="001B1C7A">
        <w:rPr>
          <w:rFonts w:ascii="Garamond" w:hAnsi="Garamond"/>
          <w:color w:val="000000" w:themeColor="text1"/>
          <w:shd w:val="clear" w:color="auto" w:fill="FFFFFF"/>
        </w:rPr>
        <w:t xml:space="preserve"> As oil was becoming critical to Britain’s national security, the British government </w:t>
      </w:r>
      <w:r w:rsidR="009678D4">
        <w:rPr>
          <w:rFonts w:ascii="Garamond" w:hAnsi="Garamond"/>
          <w:color w:val="000000" w:themeColor="text1"/>
          <w:shd w:val="clear" w:color="auto" w:fill="FFFFFF"/>
        </w:rPr>
        <w:t>lent</w:t>
      </w:r>
      <w:r w:rsidRPr="001B1C7A">
        <w:rPr>
          <w:rFonts w:ascii="Garamond" w:hAnsi="Garamond"/>
          <w:color w:val="000000" w:themeColor="text1"/>
          <w:shd w:val="clear" w:color="auto" w:fill="FFFFFF"/>
        </w:rPr>
        <w:t xml:space="preserve"> diplomatic support to D’Arcy’s Anglo – Persian. </w:t>
      </w:r>
      <w:r w:rsidR="00045017">
        <w:rPr>
          <w:rFonts w:ascii="Garamond" w:hAnsi="Garamond"/>
          <w:color w:val="000000" w:themeColor="text1"/>
          <w:shd w:val="clear" w:color="auto" w:fill="FFFFFF"/>
        </w:rPr>
        <w:t>Twelve</w:t>
      </w:r>
      <w:r w:rsidRPr="001B1C7A">
        <w:rPr>
          <w:rFonts w:ascii="Garamond" w:hAnsi="Garamond"/>
          <w:color w:val="000000" w:themeColor="text1"/>
          <w:shd w:val="clear" w:color="auto" w:fill="FFFFFF"/>
        </w:rPr>
        <w:t xml:space="preserve"> years into the </w:t>
      </w:r>
      <w:r w:rsidR="005115B1">
        <w:rPr>
          <w:rFonts w:ascii="Garamond" w:hAnsi="Garamond"/>
          <w:color w:val="000000" w:themeColor="text1"/>
          <w:shd w:val="clear" w:color="auto" w:fill="FFFFFF"/>
        </w:rPr>
        <w:t>twentieth</w:t>
      </w:r>
      <w:r w:rsidR="005115B1" w:rsidRPr="001B1C7A">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 xml:space="preserve">century, oil had become an imperative national security concern for both the U.S and England. </w:t>
      </w:r>
    </w:p>
    <w:p w14:paraId="0FE16A88" w14:textId="36E15C61" w:rsidR="009678D4"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By 1912, a new actor had emerged in the race for a concession: the Turkish Petroleum Company (</w:t>
      </w:r>
      <w:r>
        <w:rPr>
          <w:rFonts w:ascii="Garamond" w:hAnsi="Garamond"/>
          <w:color w:val="000000" w:themeColor="text1"/>
        </w:rPr>
        <w:t>T.P.C.</w:t>
      </w:r>
      <w:r w:rsidRPr="001B1C7A">
        <w:rPr>
          <w:rFonts w:ascii="Garamond" w:hAnsi="Garamond"/>
          <w:color w:val="000000" w:themeColor="text1"/>
        </w:rPr>
        <w:t>), a joint venture between the National Bank of Turkey (</w:t>
      </w:r>
      <w:r w:rsidR="001F7435">
        <w:rPr>
          <w:rFonts w:ascii="Garamond" w:hAnsi="Garamond"/>
          <w:color w:val="000000" w:themeColor="text1"/>
        </w:rPr>
        <w:t>controlled</w:t>
      </w:r>
      <w:r w:rsidRPr="001B1C7A">
        <w:rPr>
          <w:rFonts w:ascii="Garamond" w:hAnsi="Garamond"/>
          <w:color w:val="000000" w:themeColor="text1"/>
        </w:rPr>
        <w:t xml:space="preserve"> by the British), Deutsche Bank </w:t>
      </w:r>
      <w:r w:rsidR="00E73989">
        <w:rPr>
          <w:rFonts w:ascii="Garamond" w:hAnsi="Garamond"/>
          <w:color w:val="000000" w:themeColor="text1"/>
        </w:rPr>
        <w:t xml:space="preserve">(German) </w:t>
      </w:r>
      <w:r w:rsidRPr="001B1C7A">
        <w:rPr>
          <w:rFonts w:ascii="Garamond" w:hAnsi="Garamond"/>
          <w:color w:val="000000" w:themeColor="text1"/>
        </w:rPr>
        <w:t xml:space="preserve">and Armenian oil </w:t>
      </w:r>
      <w:r w:rsidR="00726104">
        <w:rPr>
          <w:rFonts w:ascii="Garamond" w:hAnsi="Garamond"/>
          <w:color w:val="000000" w:themeColor="text1"/>
        </w:rPr>
        <w:t>mogul</w:t>
      </w:r>
      <w:r w:rsidRPr="001B1C7A">
        <w:rPr>
          <w:rFonts w:ascii="Garamond" w:hAnsi="Garamond"/>
          <w:color w:val="000000" w:themeColor="text1"/>
        </w:rPr>
        <w:t xml:space="preserve"> Carloute Gulbenkian.</w:t>
      </w:r>
      <w:r>
        <w:rPr>
          <w:rStyle w:val="FootnoteReference"/>
          <w:rFonts w:ascii="Garamond" w:hAnsi="Garamond"/>
          <w:color w:val="000000" w:themeColor="text1"/>
        </w:rPr>
        <w:footnoteReference w:id="12"/>
      </w:r>
      <w:r w:rsidRPr="001B1C7A">
        <w:rPr>
          <w:rFonts w:ascii="Garamond" w:hAnsi="Garamond"/>
          <w:color w:val="000000" w:themeColor="text1"/>
        </w:rPr>
        <w:t xml:space="preserve"> </w:t>
      </w:r>
      <w:r w:rsidR="009678D4">
        <w:rPr>
          <w:rFonts w:ascii="Garamond" w:hAnsi="Garamond"/>
          <w:color w:val="000000" w:themeColor="text1"/>
        </w:rPr>
        <w:t xml:space="preserve">The T.P.C. </w:t>
      </w:r>
      <w:r w:rsidR="001F7435">
        <w:rPr>
          <w:rFonts w:ascii="Garamond" w:hAnsi="Garamond"/>
          <w:color w:val="000000" w:themeColor="text1"/>
        </w:rPr>
        <w:t>could</w:t>
      </w:r>
      <w:r w:rsidR="009678D4">
        <w:rPr>
          <w:rFonts w:ascii="Garamond" w:hAnsi="Garamond"/>
          <w:color w:val="000000" w:themeColor="text1"/>
        </w:rPr>
        <w:t xml:space="preserve"> use the Baghdad railway concession as legal means to explore for oil – this is because Deutsche Bank owned the Anatolian Railway Company who originally received the railway concession from the Ottomans. </w:t>
      </w:r>
      <w:r w:rsidRPr="001B1C7A">
        <w:rPr>
          <w:rFonts w:ascii="Garamond" w:hAnsi="Garamond"/>
          <w:color w:val="000000" w:themeColor="text1"/>
        </w:rPr>
        <w:t xml:space="preserve">Each interest seeking a concession would attempt to preclude others, hence </w:t>
      </w:r>
      <w:r w:rsidR="009678D4">
        <w:rPr>
          <w:rFonts w:ascii="Garamond" w:hAnsi="Garamond"/>
          <w:color w:val="000000" w:themeColor="text1"/>
        </w:rPr>
        <w:t>Anglo – Persian’s</w:t>
      </w:r>
      <w:r w:rsidRPr="001B1C7A">
        <w:rPr>
          <w:rFonts w:ascii="Garamond" w:hAnsi="Garamond"/>
          <w:color w:val="000000" w:themeColor="text1"/>
        </w:rPr>
        <w:t xml:space="preserve"> consternation </w:t>
      </w:r>
      <w:r w:rsidR="009678D4">
        <w:rPr>
          <w:rFonts w:ascii="Garamond" w:hAnsi="Garamond"/>
          <w:color w:val="000000" w:themeColor="text1"/>
        </w:rPr>
        <w:t>towards</w:t>
      </w:r>
      <w:r w:rsidRPr="001B1C7A">
        <w:rPr>
          <w:rFonts w:ascii="Garamond" w:hAnsi="Garamond"/>
          <w:color w:val="000000" w:themeColor="text1"/>
        </w:rPr>
        <w:t xml:space="preserve"> this news.</w:t>
      </w:r>
      <w:r>
        <w:rPr>
          <w:rStyle w:val="FootnoteReference"/>
          <w:rFonts w:ascii="Garamond" w:hAnsi="Garamond"/>
          <w:color w:val="000000" w:themeColor="text1"/>
        </w:rPr>
        <w:footnoteReference w:id="13"/>
      </w:r>
      <w:r w:rsidRPr="001B1C7A">
        <w:rPr>
          <w:rFonts w:ascii="Garamond" w:hAnsi="Garamond"/>
          <w:color w:val="000000" w:themeColor="text1"/>
        </w:rPr>
        <w:t xml:space="preserve"> </w:t>
      </w:r>
    </w:p>
    <w:p w14:paraId="669800D5" w14:textId="218EF88F" w:rsidR="0030323A" w:rsidRPr="001B1C7A" w:rsidRDefault="00045017" w:rsidP="0030323A">
      <w:pPr>
        <w:spacing w:line="480" w:lineRule="auto"/>
        <w:ind w:firstLine="360"/>
        <w:rPr>
          <w:rFonts w:ascii="Garamond" w:hAnsi="Garamond"/>
          <w:color w:val="000000" w:themeColor="text1"/>
        </w:rPr>
      </w:pPr>
      <w:r>
        <w:rPr>
          <w:rFonts w:ascii="Garamond" w:hAnsi="Garamond"/>
          <w:color w:val="000000" w:themeColor="text1"/>
        </w:rPr>
        <w:t xml:space="preserve">Other major oil companies were stunned by the news. </w:t>
      </w:r>
      <w:r w:rsidR="0030323A" w:rsidRPr="001B1C7A">
        <w:rPr>
          <w:rFonts w:ascii="Garamond" w:hAnsi="Garamond"/>
          <w:color w:val="000000" w:themeColor="text1"/>
        </w:rPr>
        <w:t>Royal Dutch Shell, a majority controlled by the Netherlands, began pressuring Anglo - Persian to merge</w:t>
      </w:r>
      <w:r w:rsidR="009678D4">
        <w:rPr>
          <w:rFonts w:ascii="Garamond" w:hAnsi="Garamond"/>
          <w:color w:val="000000" w:themeColor="text1"/>
        </w:rPr>
        <w:t xml:space="preserve"> to counter the T.P.C. group</w:t>
      </w:r>
      <w:r w:rsidR="0030323A" w:rsidRPr="001B1C7A">
        <w:rPr>
          <w:rFonts w:ascii="Garamond" w:hAnsi="Garamond"/>
          <w:color w:val="000000" w:themeColor="text1"/>
        </w:rPr>
        <w:t>.</w:t>
      </w:r>
      <w:r w:rsidR="0030323A">
        <w:rPr>
          <w:rStyle w:val="FootnoteReference"/>
          <w:rFonts w:ascii="Garamond" w:hAnsi="Garamond"/>
          <w:color w:val="000000" w:themeColor="text1"/>
        </w:rPr>
        <w:footnoteReference w:id="14"/>
      </w:r>
      <w:r w:rsidR="0030323A" w:rsidRPr="001B1C7A">
        <w:rPr>
          <w:rFonts w:ascii="Garamond" w:hAnsi="Garamond"/>
          <w:color w:val="000000" w:themeColor="text1"/>
        </w:rPr>
        <w:t xml:space="preserve"> </w:t>
      </w:r>
      <w:r w:rsidR="0030323A" w:rsidRPr="001B1C7A">
        <w:rPr>
          <w:rFonts w:ascii="Garamond" w:hAnsi="Garamond"/>
          <w:color w:val="000000" w:themeColor="text1"/>
        </w:rPr>
        <w:lastRenderedPageBreak/>
        <w:t xml:space="preserve">Neither the </w:t>
      </w:r>
      <w:r w:rsidR="0030323A">
        <w:rPr>
          <w:rFonts w:ascii="Garamond" w:hAnsi="Garamond"/>
          <w:color w:val="000000" w:themeColor="text1"/>
        </w:rPr>
        <w:t xml:space="preserve">British </w:t>
      </w:r>
      <w:r w:rsidR="0030323A" w:rsidRPr="001B1C7A">
        <w:rPr>
          <w:rFonts w:ascii="Garamond" w:hAnsi="Garamond"/>
          <w:color w:val="000000" w:themeColor="text1"/>
        </w:rPr>
        <w:t>Foreign Office, wh</w:t>
      </w:r>
      <w:r w:rsidR="005115B1">
        <w:rPr>
          <w:rFonts w:ascii="Garamond" w:hAnsi="Garamond"/>
          <w:color w:val="000000" w:themeColor="text1"/>
        </w:rPr>
        <w:t>ich</w:t>
      </w:r>
      <w:r w:rsidR="0030323A" w:rsidRPr="001B1C7A">
        <w:rPr>
          <w:rFonts w:ascii="Garamond" w:hAnsi="Garamond"/>
          <w:color w:val="000000" w:themeColor="text1"/>
        </w:rPr>
        <w:t xml:space="preserve"> still backed D’Arcy, nor D’Arcy himself, wanted foreign involvement in Anglo – Persian.</w:t>
      </w:r>
      <w:r w:rsidR="0030323A" w:rsidRPr="001B1C7A">
        <w:rPr>
          <w:rStyle w:val="FootnoteReference"/>
          <w:rFonts w:ascii="Garamond" w:hAnsi="Garamond"/>
          <w:color w:val="000000" w:themeColor="text1"/>
        </w:rPr>
        <w:footnoteReference w:id="15"/>
      </w:r>
      <w:r w:rsidR="0030323A" w:rsidRPr="001B1C7A">
        <w:rPr>
          <w:rFonts w:ascii="Garamond" w:hAnsi="Garamond"/>
          <w:color w:val="000000" w:themeColor="text1"/>
        </w:rPr>
        <w:t xml:space="preserve"> Preceding World War I, two tactics to attain oil concessions had emerged: negotiat</w:t>
      </w:r>
      <w:r>
        <w:rPr>
          <w:rFonts w:ascii="Garamond" w:hAnsi="Garamond"/>
          <w:color w:val="000000" w:themeColor="text1"/>
        </w:rPr>
        <w:t>e</w:t>
      </w:r>
      <w:r w:rsidR="0030323A" w:rsidRPr="001B1C7A">
        <w:rPr>
          <w:rFonts w:ascii="Garamond" w:hAnsi="Garamond"/>
          <w:color w:val="000000" w:themeColor="text1"/>
        </w:rPr>
        <w:t xml:space="preserve"> a direct concession with the government, as practiced by D’Arcy, or </w:t>
      </w:r>
      <w:r>
        <w:rPr>
          <w:rFonts w:ascii="Garamond" w:hAnsi="Garamond"/>
          <w:color w:val="000000" w:themeColor="text1"/>
        </w:rPr>
        <w:t>receive</w:t>
      </w:r>
      <w:r w:rsidR="0030323A" w:rsidRPr="001B1C7A">
        <w:rPr>
          <w:rFonts w:ascii="Garamond" w:hAnsi="Garamond"/>
          <w:color w:val="000000" w:themeColor="text1"/>
        </w:rPr>
        <w:t xml:space="preserve"> a railway concession accompanied by mineral rights, as practiced by the </w:t>
      </w:r>
      <w:r w:rsidR="0030323A">
        <w:rPr>
          <w:rFonts w:ascii="Garamond" w:hAnsi="Garamond"/>
          <w:color w:val="000000" w:themeColor="text1"/>
        </w:rPr>
        <w:t>T.P.C.</w:t>
      </w:r>
      <w:r w:rsidR="0030323A" w:rsidRPr="001B1C7A">
        <w:rPr>
          <w:rFonts w:ascii="Garamond" w:hAnsi="Garamond"/>
          <w:color w:val="000000" w:themeColor="text1"/>
        </w:rPr>
        <w:t xml:space="preserve"> and Chester. </w:t>
      </w:r>
    </w:p>
    <w:p w14:paraId="606D0C6C" w14:textId="6FF2C215" w:rsidR="0072514E"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In January 1914, the British Admiralty</w:t>
      </w:r>
      <w:r>
        <w:rPr>
          <w:rFonts w:ascii="Garamond" w:hAnsi="Garamond"/>
          <w:color w:val="000000" w:themeColor="text1"/>
        </w:rPr>
        <w:t xml:space="preserve"> </w:t>
      </w:r>
      <w:r w:rsidRPr="001B1C7A">
        <w:rPr>
          <w:rFonts w:ascii="Garamond" w:hAnsi="Garamond"/>
          <w:color w:val="000000" w:themeColor="text1"/>
        </w:rPr>
        <w:t>approved a purchase of 51% of Anglo – Persian’s stock.</w:t>
      </w:r>
      <w:r>
        <w:rPr>
          <w:rStyle w:val="FootnoteReference"/>
          <w:rFonts w:ascii="Garamond" w:hAnsi="Garamond"/>
          <w:color w:val="000000" w:themeColor="text1"/>
        </w:rPr>
        <w:footnoteReference w:id="16"/>
      </w:r>
      <w:r w:rsidRPr="001B1C7A">
        <w:rPr>
          <w:rFonts w:ascii="Garamond" w:hAnsi="Garamond"/>
          <w:color w:val="000000" w:themeColor="text1"/>
        </w:rPr>
        <w:t xml:space="preserve"> </w:t>
      </w:r>
      <w:r w:rsidR="009678D4">
        <w:rPr>
          <w:rFonts w:ascii="Garamond" w:hAnsi="Garamond"/>
          <w:color w:val="000000" w:themeColor="text1"/>
        </w:rPr>
        <w:t>I</w:t>
      </w:r>
      <w:r w:rsidRPr="001B1C7A">
        <w:rPr>
          <w:rFonts w:ascii="Garamond" w:hAnsi="Garamond"/>
          <w:color w:val="000000" w:themeColor="text1"/>
        </w:rPr>
        <w:t>t had become evident that</w:t>
      </w:r>
      <w:r>
        <w:rPr>
          <w:rFonts w:ascii="Garamond" w:hAnsi="Garamond"/>
          <w:color w:val="000000" w:themeColor="text1"/>
        </w:rPr>
        <w:t xml:space="preserve"> </w:t>
      </w:r>
      <w:r w:rsidRPr="001B1C7A">
        <w:rPr>
          <w:rFonts w:ascii="Garamond" w:hAnsi="Garamond"/>
          <w:color w:val="000000" w:themeColor="text1"/>
        </w:rPr>
        <w:t>the various interests would need to amalgamate if they wished to each access Mesopotamian oil.</w:t>
      </w:r>
      <w:r>
        <w:rPr>
          <w:rStyle w:val="FootnoteReference"/>
          <w:rFonts w:ascii="Garamond" w:hAnsi="Garamond"/>
          <w:color w:val="000000" w:themeColor="text1"/>
        </w:rPr>
        <w:footnoteReference w:id="17"/>
      </w:r>
      <w:r w:rsidRPr="001B1C7A">
        <w:rPr>
          <w:rFonts w:ascii="Garamond" w:hAnsi="Garamond"/>
          <w:color w:val="000000" w:themeColor="text1"/>
        </w:rPr>
        <w:t xml:space="preserve"> </w:t>
      </w:r>
      <w:r w:rsidR="00045017">
        <w:rPr>
          <w:rFonts w:ascii="Garamond" w:hAnsi="Garamond"/>
          <w:color w:val="000000" w:themeColor="text1"/>
        </w:rPr>
        <w:t>Standard Oil’s</w:t>
      </w:r>
      <w:r w:rsidRPr="001B1C7A">
        <w:rPr>
          <w:rFonts w:ascii="Garamond" w:hAnsi="Garamond"/>
          <w:color w:val="000000" w:themeColor="text1"/>
        </w:rPr>
        <w:t xml:space="preserve"> offer of 10 million francs to receive the Mesopotamia concession, in October 1913, catalyzed the amalgamation effort.</w:t>
      </w:r>
      <w:r>
        <w:rPr>
          <w:rStyle w:val="FootnoteReference"/>
          <w:rFonts w:ascii="Garamond" w:hAnsi="Garamond"/>
          <w:color w:val="000000" w:themeColor="text1"/>
        </w:rPr>
        <w:footnoteReference w:id="18"/>
      </w:r>
      <w:r w:rsidRPr="001B1C7A">
        <w:rPr>
          <w:rFonts w:ascii="Garamond" w:hAnsi="Garamond"/>
          <w:color w:val="000000" w:themeColor="text1"/>
        </w:rPr>
        <w:t xml:space="preserve"> </w:t>
      </w:r>
      <w:r>
        <w:rPr>
          <w:rFonts w:ascii="Garamond" w:hAnsi="Garamond"/>
          <w:color w:val="000000" w:themeColor="text1"/>
        </w:rPr>
        <w:t>Standard Oil was also</w:t>
      </w:r>
    </w:p>
    <w:p w14:paraId="7064DF24" w14:textId="04E24E1C" w:rsidR="0030323A" w:rsidRPr="001B1C7A" w:rsidRDefault="0030323A" w:rsidP="001F7435">
      <w:pPr>
        <w:spacing w:line="480" w:lineRule="auto"/>
        <w:rPr>
          <w:rFonts w:ascii="Garamond" w:hAnsi="Garamond"/>
          <w:color w:val="000000" w:themeColor="text1"/>
        </w:rPr>
      </w:pPr>
      <w:r>
        <w:rPr>
          <w:rFonts w:ascii="Garamond" w:hAnsi="Garamond"/>
          <w:color w:val="000000" w:themeColor="text1"/>
        </w:rPr>
        <w:t>angling for concessions in Palestine which</w:t>
      </w:r>
      <w:r w:rsidR="001F7435">
        <w:rPr>
          <w:rFonts w:ascii="Garamond" w:hAnsi="Garamond"/>
          <w:color w:val="000000" w:themeColor="text1"/>
        </w:rPr>
        <w:t xml:space="preserve"> </w:t>
      </w:r>
      <w:r>
        <w:rPr>
          <w:rFonts w:ascii="Garamond" w:hAnsi="Garamond"/>
          <w:color w:val="000000" w:themeColor="text1"/>
        </w:rPr>
        <w:t>infringed on Britain’s</w:t>
      </w:r>
      <w:r w:rsidR="001F7435">
        <w:rPr>
          <w:rFonts w:ascii="Garamond" w:hAnsi="Garamond"/>
          <w:color w:val="000000" w:themeColor="text1"/>
        </w:rPr>
        <w:t xml:space="preserve"> supposed</w:t>
      </w:r>
      <w:r>
        <w:rPr>
          <w:rFonts w:ascii="Garamond" w:hAnsi="Garamond"/>
          <w:color w:val="000000" w:themeColor="text1"/>
        </w:rPr>
        <w:t xml:space="preserve"> sphere of influence.</w:t>
      </w:r>
      <w:r>
        <w:rPr>
          <w:rStyle w:val="FootnoteReference"/>
          <w:rFonts w:ascii="Garamond" w:hAnsi="Garamond"/>
          <w:color w:val="000000" w:themeColor="text1"/>
        </w:rPr>
        <w:footnoteReference w:id="19"/>
      </w:r>
      <w:r>
        <w:rPr>
          <w:rFonts w:ascii="Garamond" w:hAnsi="Garamond"/>
          <w:color w:val="000000" w:themeColor="text1"/>
        </w:rPr>
        <w:t xml:space="preserve"> </w:t>
      </w:r>
    </w:p>
    <w:p w14:paraId="68D15A44" w14:textId="3693B6FC" w:rsidR="0030323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Thanks to Royal Dutch Shell’s relationship with Deutsche Bank and its lobbying of the British Admiralty, it also became a partner in the </w:t>
      </w:r>
      <w:r>
        <w:rPr>
          <w:rFonts w:ascii="Garamond" w:hAnsi="Garamond"/>
          <w:color w:val="000000" w:themeColor="text1"/>
        </w:rPr>
        <w:t>T.P.C.</w:t>
      </w:r>
      <w:r w:rsidRPr="001B1C7A">
        <w:rPr>
          <w:rFonts w:ascii="Garamond" w:hAnsi="Garamond"/>
          <w:color w:val="000000" w:themeColor="text1"/>
        </w:rPr>
        <w:t xml:space="preserve"> amalgamation through its subsidiary, Anglo – Saxon Petroleum.</w:t>
      </w:r>
      <w:r w:rsidRPr="001B1C7A">
        <w:rPr>
          <w:rStyle w:val="FootnoteReference"/>
          <w:rFonts w:ascii="Garamond" w:hAnsi="Garamond"/>
          <w:color w:val="000000" w:themeColor="text1"/>
        </w:rPr>
        <w:footnoteReference w:id="20"/>
      </w:r>
      <w:r w:rsidRPr="001B1C7A">
        <w:rPr>
          <w:rFonts w:ascii="Garamond" w:hAnsi="Garamond"/>
          <w:color w:val="000000" w:themeColor="text1"/>
        </w:rPr>
        <w:t xml:space="preserve"> </w:t>
      </w:r>
      <w:r w:rsidR="00C137FB">
        <w:rPr>
          <w:rFonts w:ascii="Garamond" w:hAnsi="Garamond"/>
          <w:color w:val="000000" w:themeColor="text1"/>
        </w:rPr>
        <w:t>During</w:t>
      </w:r>
      <w:r w:rsidR="00C137FB" w:rsidRPr="001B1C7A">
        <w:rPr>
          <w:rFonts w:ascii="Garamond" w:hAnsi="Garamond"/>
          <w:color w:val="000000" w:themeColor="text1"/>
        </w:rPr>
        <w:t xml:space="preserve"> </w:t>
      </w:r>
      <w:r w:rsidRPr="001B1C7A">
        <w:rPr>
          <w:rFonts w:ascii="Garamond" w:hAnsi="Garamond"/>
          <w:color w:val="000000" w:themeColor="text1"/>
        </w:rPr>
        <w:t>drawn-out negotiations between the European interests, the British Foreign Office “instructed its Ambassador to obstruct the efforts” of Standard Oil</w:t>
      </w:r>
      <w:r w:rsidR="00045017">
        <w:rPr>
          <w:rFonts w:ascii="Garamond" w:hAnsi="Garamond"/>
          <w:color w:val="000000" w:themeColor="text1"/>
        </w:rPr>
        <w:t>.</w:t>
      </w:r>
      <w:r w:rsidR="00C137FB">
        <w:rPr>
          <w:rStyle w:val="FootnoteReference"/>
          <w:rFonts w:ascii="Garamond" w:hAnsi="Garamond"/>
          <w:color w:val="000000" w:themeColor="text1"/>
        </w:rPr>
        <w:footnoteReference w:id="21"/>
      </w:r>
      <w:r w:rsidR="00045017">
        <w:rPr>
          <w:rFonts w:ascii="Garamond" w:hAnsi="Garamond"/>
          <w:color w:val="000000" w:themeColor="text1"/>
        </w:rPr>
        <w:t xml:space="preserve"> O</w:t>
      </w:r>
      <w:r w:rsidRPr="001B1C7A">
        <w:rPr>
          <w:rFonts w:ascii="Garamond" w:hAnsi="Garamond"/>
          <w:color w:val="000000" w:themeColor="text1"/>
        </w:rPr>
        <w:t xml:space="preserve">n March 19, 1914, the Turkish National Bank </w:t>
      </w:r>
      <w:r w:rsidR="00045017">
        <w:rPr>
          <w:rFonts w:ascii="Garamond" w:hAnsi="Garamond"/>
          <w:color w:val="000000" w:themeColor="text1"/>
        </w:rPr>
        <w:t xml:space="preserve">then </w:t>
      </w:r>
      <w:r w:rsidRPr="001B1C7A">
        <w:rPr>
          <w:rFonts w:ascii="Garamond" w:hAnsi="Garamond"/>
          <w:color w:val="000000" w:themeColor="text1"/>
        </w:rPr>
        <w:t xml:space="preserve">sold its shares in the </w:t>
      </w:r>
      <w:r>
        <w:rPr>
          <w:rFonts w:ascii="Garamond" w:hAnsi="Garamond"/>
          <w:color w:val="000000" w:themeColor="text1"/>
        </w:rPr>
        <w:t>T.P.C</w:t>
      </w:r>
      <w:r w:rsidR="009678D4">
        <w:rPr>
          <w:rFonts w:ascii="Garamond" w:hAnsi="Garamond"/>
          <w:color w:val="000000" w:themeColor="text1"/>
        </w:rPr>
        <w:t xml:space="preserve"> to Anglo </w:t>
      </w:r>
      <w:r w:rsidR="003C2A4B">
        <w:rPr>
          <w:rFonts w:ascii="Garamond" w:hAnsi="Garamond"/>
          <w:color w:val="000000" w:themeColor="text1"/>
        </w:rPr>
        <w:t>–</w:t>
      </w:r>
      <w:r w:rsidR="009678D4">
        <w:rPr>
          <w:rFonts w:ascii="Garamond" w:hAnsi="Garamond"/>
          <w:color w:val="000000" w:themeColor="text1"/>
        </w:rPr>
        <w:t xml:space="preserve"> Persian</w:t>
      </w:r>
      <w:r w:rsidR="003C2A4B">
        <w:rPr>
          <w:rFonts w:ascii="Garamond" w:hAnsi="Garamond"/>
          <w:color w:val="000000" w:themeColor="text1"/>
        </w:rPr>
        <w:t xml:space="preserve">, owned by the </w:t>
      </w:r>
      <w:r w:rsidR="001F7435">
        <w:rPr>
          <w:rFonts w:ascii="Garamond" w:hAnsi="Garamond"/>
          <w:color w:val="000000" w:themeColor="text1"/>
        </w:rPr>
        <w:t>British</w:t>
      </w:r>
      <w:r w:rsidRPr="001B1C7A">
        <w:rPr>
          <w:rFonts w:ascii="Garamond" w:hAnsi="Garamond"/>
          <w:color w:val="000000" w:themeColor="text1"/>
        </w:rPr>
        <w:t>. The result</w:t>
      </w:r>
      <w:r w:rsidR="00EB4496">
        <w:rPr>
          <w:rFonts w:ascii="Garamond" w:hAnsi="Garamond"/>
          <w:color w:val="000000" w:themeColor="text1"/>
        </w:rPr>
        <w:t>ing</w:t>
      </w:r>
      <w:r w:rsidRPr="001B1C7A">
        <w:rPr>
          <w:rFonts w:ascii="Garamond" w:hAnsi="Garamond"/>
          <w:color w:val="000000" w:themeColor="text1"/>
        </w:rPr>
        <w:t xml:space="preserve"> composition of the </w:t>
      </w:r>
      <w:r>
        <w:rPr>
          <w:rFonts w:ascii="Garamond" w:hAnsi="Garamond"/>
          <w:color w:val="000000" w:themeColor="text1"/>
        </w:rPr>
        <w:t>T.P.C.</w:t>
      </w:r>
      <w:r w:rsidRPr="001B1C7A">
        <w:rPr>
          <w:rFonts w:ascii="Garamond" w:hAnsi="Garamond"/>
          <w:color w:val="000000" w:themeColor="text1"/>
        </w:rPr>
        <w:t xml:space="preserve"> became Anglo – Persian holding 50%, Deutsche 25% and Anglo – Saxon 25%</w:t>
      </w:r>
      <w:r>
        <w:rPr>
          <w:rFonts w:ascii="Garamond" w:hAnsi="Garamond"/>
          <w:color w:val="000000" w:themeColor="text1"/>
        </w:rPr>
        <w:t>.</w:t>
      </w:r>
      <w:r>
        <w:rPr>
          <w:rStyle w:val="FootnoteReference"/>
          <w:rFonts w:ascii="Garamond" w:hAnsi="Garamond"/>
          <w:color w:val="000000" w:themeColor="text1"/>
        </w:rPr>
        <w:footnoteReference w:id="22"/>
      </w:r>
      <w:r w:rsidRPr="001B1C7A">
        <w:rPr>
          <w:rFonts w:ascii="Garamond" w:hAnsi="Garamond"/>
          <w:color w:val="000000" w:themeColor="text1"/>
        </w:rPr>
        <w:t xml:space="preserve"> Gulbenkian retained 5% of the company’s shares - 2.5</w:t>
      </w:r>
      <w:r w:rsidR="00EB4496">
        <w:rPr>
          <w:rFonts w:ascii="Garamond" w:hAnsi="Garamond"/>
          <w:color w:val="000000" w:themeColor="text1"/>
        </w:rPr>
        <w:t>%</w:t>
      </w:r>
      <w:r w:rsidRPr="001B1C7A">
        <w:rPr>
          <w:rFonts w:ascii="Garamond" w:hAnsi="Garamond"/>
          <w:color w:val="000000" w:themeColor="text1"/>
        </w:rPr>
        <w:t xml:space="preserve"> each coming from Anglo – Saxon and Anglo – Persian - but he could not vote in meetings.</w:t>
      </w:r>
      <w:r w:rsidR="00FB5F4C">
        <w:rPr>
          <w:rStyle w:val="FootnoteReference"/>
          <w:rFonts w:ascii="Garamond" w:hAnsi="Garamond"/>
          <w:color w:val="000000" w:themeColor="text1"/>
        </w:rPr>
        <w:footnoteReference w:id="23"/>
      </w:r>
      <w:r w:rsidRPr="001B1C7A">
        <w:rPr>
          <w:rFonts w:ascii="Garamond" w:hAnsi="Garamond"/>
          <w:color w:val="000000" w:themeColor="text1"/>
        </w:rPr>
        <w:t xml:space="preserve"> From 1888 </w:t>
      </w:r>
      <w:r w:rsidR="00045017">
        <w:rPr>
          <w:rFonts w:ascii="Garamond" w:hAnsi="Garamond"/>
          <w:color w:val="000000" w:themeColor="text1"/>
        </w:rPr>
        <w:t>to</w:t>
      </w:r>
      <w:r w:rsidRPr="001B1C7A">
        <w:rPr>
          <w:rFonts w:ascii="Garamond" w:hAnsi="Garamond"/>
          <w:color w:val="000000" w:themeColor="text1"/>
        </w:rPr>
        <w:t xml:space="preserve"> 1914, European imperial interests collaborated with</w:t>
      </w:r>
      <w:r w:rsidR="003C2A4B">
        <w:rPr>
          <w:rFonts w:ascii="Garamond" w:hAnsi="Garamond"/>
          <w:color w:val="000000" w:themeColor="text1"/>
        </w:rPr>
        <w:t xml:space="preserve"> </w:t>
      </w:r>
      <w:r w:rsidRPr="001B1C7A">
        <w:rPr>
          <w:rFonts w:ascii="Garamond" w:hAnsi="Garamond"/>
          <w:color w:val="000000" w:themeColor="text1"/>
        </w:rPr>
        <w:t xml:space="preserve">and conspired against one another for the Mesopotamian concession. A theme throughout, however, was the obstruction of Standard Oil. </w:t>
      </w:r>
      <w:r w:rsidRPr="001B1C7A">
        <w:rPr>
          <w:rFonts w:ascii="Garamond" w:hAnsi="Garamond"/>
          <w:color w:val="000000" w:themeColor="text1"/>
        </w:rPr>
        <w:lastRenderedPageBreak/>
        <w:t>Nevertheless, these negotiations proved for naught with the outbreak of World War I. According to British diplomat Sir Mark Sykes, while the First World War would be decided in Flanders, the Germans were fighting for the Middle East.</w:t>
      </w:r>
      <w:r w:rsidR="00C137FB">
        <w:rPr>
          <w:rStyle w:val="FootnoteReference"/>
          <w:rFonts w:ascii="Garamond" w:hAnsi="Garamond"/>
          <w:color w:val="000000" w:themeColor="text1"/>
        </w:rPr>
        <w:footnoteReference w:id="24"/>
      </w:r>
      <w:r w:rsidRPr="001B1C7A">
        <w:rPr>
          <w:rFonts w:ascii="Garamond" w:hAnsi="Garamond"/>
          <w:color w:val="000000" w:themeColor="text1"/>
        </w:rPr>
        <w:t xml:space="preserve"> </w:t>
      </w:r>
    </w:p>
    <w:p w14:paraId="19B00362" w14:textId="51ECA149" w:rsidR="00BA2D8A" w:rsidRDefault="00BA2D8A" w:rsidP="00445498">
      <w:pPr>
        <w:pStyle w:val="Heading2"/>
        <w:numPr>
          <w:ilvl w:val="0"/>
          <w:numId w:val="32"/>
        </w:numPr>
        <w:rPr>
          <w:rFonts w:ascii="Garamond" w:hAnsi="Garamond"/>
          <w:color w:val="000000" w:themeColor="text1"/>
        </w:rPr>
      </w:pPr>
      <w:bookmarkStart w:id="5" w:name="_Toc66731774"/>
      <w:r w:rsidRPr="00680558">
        <w:rPr>
          <w:rFonts w:ascii="Garamond" w:hAnsi="Garamond"/>
          <w:color w:val="000000" w:themeColor="text1"/>
        </w:rPr>
        <w:t>The P</w:t>
      </w:r>
      <w:r w:rsidR="00445498" w:rsidRPr="00680558">
        <w:rPr>
          <w:rFonts w:ascii="Garamond" w:hAnsi="Garamond"/>
          <w:color w:val="000000" w:themeColor="text1"/>
        </w:rPr>
        <w:t>acific</w:t>
      </w:r>
      <w:r w:rsidRPr="00680558">
        <w:rPr>
          <w:rFonts w:ascii="Garamond" w:hAnsi="Garamond"/>
          <w:color w:val="000000" w:themeColor="text1"/>
        </w:rPr>
        <w:t>, Japan and Oil as a U.S. Security Issue</w:t>
      </w:r>
      <w:bookmarkEnd w:id="5"/>
    </w:p>
    <w:p w14:paraId="1EA2D36E" w14:textId="77777777" w:rsidR="00445498" w:rsidRPr="00445498" w:rsidRDefault="00445498" w:rsidP="00680558"/>
    <w:p w14:paraId="0BCE7629" w14:textId="594260BF" w:rsidR="003C2A4B" w:rsidRDefault="00B2147C">
      <w:pPr>
        <w:spacing w:line="480" w:lineRule="auto"/>
        <w:ind w:firstLine="720"/>
        <w:rPr>
          <w:rFonts w:ascii="Garamond" w:hAnsi="Garamond"/>
        </w:rPr>
      </w:pPr>
      <w:r>
        <w:rPr>
          <w:rFonts w:ascii="Garamond" w:hAnsi="Garamond"/>
        </w:rPr>
        <w:t>The Spanish – American war and the creation of the Panam</w:t>
      </w:r>
      <w:r w:rsidR="00201865">
        <w:rPr>
          <w:rFonts w:ascii="Garamond" w:hAnsi="Garamond"/>
        </w:rPr>
        <w:t>a</w:t>
      </w:r>
      <w:r>
        <w:rPr>
          <w:rFonts w:ascii="Garamond" w:hAnsi="Garamond"/>
        </w:rPr>
        <w:t xml:space="preserve"> Canal changed the U.S.’s military posture and geopolitical interests. </w:t>
      </w:r>
      <w:r w:rsidR="00201865">
        <w:rPr>
          <w:rFonts w:ascii="Garamond" w:hAnsi="Garamond"/>
        </w:rPr>
        <w:t xml:space="preserve">In the Spanish – American War, the United States acquired Guam and the Philippines, </w:t>
      </w:r>
      <w:r w:rsidR="001F7435">
        <w:rPr>
          <w:rFonts w:ascii="Garamond" w:hAnsi="Garamond"/>
        </w:rPr>
        <w:t>threatening</w:t>
      </w:r>
      <w:r w:rsidR="00201865">
        <w:rPr>
          <w:rFonts w:ascii="Garamond" w:hAnsi="Garamond"/>
        </w:rPr>
        <w:t xml:space="preserve"> other Pacific powers.</w:t>
      </w:r>
      <w:r w:rsidR="00C137FB">
        <w:rPr>
          <w:rStyle w:val="FootnoteReference"/>
          <w:rFonts w:ascii="Garamond" w:hAnsi="Garamond"/>
        </w:rPr>
        <w:footnoteReference w:id="25"/>
      </w:r>
      <w:r w:rsidR="00201865">
        <w:rPr>
          <w:rFonts w:ascii="Garamond" w:hAnsi="Garamond"/>
        </w:rPr>
        <w:t xml:space="preserve"> When the Panama Canal opened, the United States could then move its </w:t>
      </w:r>
      <w:r w:rsidR="001F7435">
        <w:rPr>
          <w:rFonts w:ascii="Garamond" w:hAnsi="Garamond"/>
        </w:rPr>
        <w:t>N</w:t>
      </w:r>
      <w:r w:rsidR="00201865">
        <w:rPr>
          <w:rFonts w:ascii="Garamond" w:hAnsi="Garamond"/>
        </w:rPr>
        <w:t xml:space="preserve">avy between the Pacific and Atlantic with ease. With new territory came great responsibilities; the U.S. now needed to defend its Pacific interests, and </w:t>
      </w:r>
      <w:r w:rsidR="003C2A4B">
        <w:rPr>
          <w:rFonts w:ascii="Garamond" w:hAnsi="Garamond"/>
        </w:rPr>
        <w:t>Japan threatened those interests the most</w:t>
      </w:r>
      <w:r w:rsidR="00201865">
        <w:rPr>
          <w:rFonts w:ascii="Garamond" w:hAnsi="Garamond"/>
        </w:rPr>
        <w:t xml:space="preserve">. However, the Pacific’s massive size necessitated that </w:t>
      </w:r>
      <w:r w:rsidR="00537B90">
        <w:rPr>
          <w:rFonts w:ascii="Garamond" w:hAnsi="Garamond"/>
        </w:rPr>
        <w:t xml:space="preserve">the </w:t>
      </w:r>
      <w:r w:rsidR="00201865">
        <w:rPr>
          <w:rFonts w:ascii="Garamond" w:hAnsi="Garamond"/>
        </w:rPr>
        <w:t>U</w:t>
      </w:r>
      <w:r w:rsidR="00C137FB">
        <w:rPr>
          <w:rFonts w:ascii="Garamond" w:hAnsi="Garamond"/>
        </w:rPr>
        <w:t>nited States</w:t>
      </w:r>
      <w:r w:rsidR="00201865">
        <w:rPr>
          <w:rFonts w:ascii="Garamond" w:hAnsi="Garamond"/>
        </w:rPr>
        <w:t xml:space="preserve"> maintain adequate reserves of 200,000 – 250,000 tons of coal a month to </w:t>
      </w:r>
      <w:r w:rsidR="00C137FB">
        <w:rPr>
          <w:rFonts w:ascii="Garamond" w:hAnsi="Garamond"/>
        </w:rPr>
        <w:t>undertake its Orange Plan against Japan where, in the event of war, the United States would destroy or blockade all the major units of the Japanese Navy</w:t>
      </w:r>
      <w:r w:rsidR="00201865">
        <w:rPr>
          <w:rFonts w:ascii="Garamond" w:hAnsi="Garamond"/>
        </w:rPr>
        <w:t>.</w:t>
      </w:r>
      <w:r w:rsidR="00201865">
        <w:rPr>
          <w:rStyle w:val="FootnoteReference"/>
          <w:rFonts w:ascii="Garamond" w:hAnsi="Garamond"/>
        </w:rPr>
        <w:footnoteReference w:id="26"/>
      </w:r>
      <w:r w:rsidR="00201865">
        <w:rPr>
          <w:rFonts w:ascii="Garamond" w:hAnsi="Garamond"/>
        </w:rPr>
        <w:t xml:space="preserve"> Oil helped circumvent the need for such coal reserves: the cruising range of an oil burning </w:t>
      </w:r>
      <w:r w:rsidR="00BB04C9">
        <w:rPr>
          <w:rFonts w:ascii="Garamond" w:hAnsi="Garamond"/>
        </w:rPr>
        <w:t>ship was 40 – 50 % longer than one of coal, and ships could also transfer oil to one another without stopping at a protected base.</w:t>
      </w:r>
      <w:r w:rsidR="00BB04C9">
        <w:rPr>
          <w:rStyle w:val="FootnoteReference"/>
          <w:rFonts w:ascii="Garamond" w:hAnsi="Garamond"/>
        </w:rPr>
        <w:footnoteReference w:id="27"/>
      </w:r>
      <w:r w:rsidR="00BB04C9">
        <w:rPr>
          <w:rFonts w:ascii="Garamond" w:hAnsi="Garamond"/>
        </w:rPr>
        <w:t xml:space="preserve"> </w:t>
      </w:r>
    </w:p>
    <w:p w14:paraId="28C5AC49" w14:textId="55369E8A" w:rsidR="00B2147C" w:rsidRPr="00680558" w:rsidRDefault="003C2A4B" w:rsidP="00680558">
      <w:pPr>
        <w:spacing w:line="480" w:lineRule="auto"/>
        <w:ind w:firstLine="720"/>
        <w:rPr>
          <w:rFonts w:ascii="Garamond" w:hAnsi="Garamond"/>
        </w:rPr>
      </w:pPr>
      <w:r>
        <w:rPr>
          <w:rFonts w:ascii="Garamond" w:hAnsi="Garamond"/>
        </w:rPr>
        <w:t>Consequently, i</w:t>
      </w:r>
      <w:r w:rsidR="00C137FB">
        <w:rPr>
          <w:rFonts w:ascii="Garamond" w:hAnsi="Garamond"/>
        </w:rPr>
        <w:t xml:space="preserve">n 1911, Congress commissioned the </w:t>
      </w:r>
      <w:r w:rsidR="00C137FB">
        <w:rPr>
          <w:rFonts w:ascii="Garamond" w:hAnsi="Garamond"/>
          <w:i/>
          <w:iCs/>
        </w:rPr>
        <w:t xml:space="preserve">U.S.S. Nevada </w:t>
      </w:r>
      <w:r w:rsidR="00C137FB">
        <w:rPr>
          <w:rFonts w:ascii="Garamond" w:hAnsi="Garamond"/>
        </w:rPr>
        <w:t xml:space="preserve">and </w:t>
      </w:r>
      <w:r w:rsidR="00C137FB">
        <w:rPr>
          <w:rFonts w:ascii="Garamond" w:hAnsi="Garamond"/>
          <w:i/>
          <w:iCs/>
        </w:rPr>
        <w:t>U.S.S. Oklahoma,</w:t>
      </w:r>
      <w:r w:rsidR="00C137FB">
        <w:rPr>
          <w:rFonts w:ascii="Garamond" w:hAnsi="Garamond"/>
        </w:rPr>
        <w:t xml:space="preserve"> which would both run on oil.</w:t>
      </w:r>
      <w:r w:rsidR="00C137FB">
        <w:rPr>
          <w:rStyle w:val="FootnoteReference"/>
          <w:rFonts w:ascii="Garamond" w:hAnsi="Garamond"/>
        </w:rPr>
        <w:footnoteReference w:id="28"/>
      </w:r>
      <w:r w:rsidR="00C137FB">
        <w:rPr>
          <w:rFonts w:ascii="Garamond" w:hAnsi="Garamond"/>
        </w:rPr>
        <w:t xml:space="preserve"> And, in late 1912, President </w:t>
      </w:r>
      <w:r w:rsidR="00C137FB" w:rsidRPr="00956F18">
        <w:rPr>
          <w:rFonts w:ascii="Garamond" w:hAnsi="Garamond"/>
        </w:rPr>
        <w:t>William</w:t>
      </w:r>
      <w:r w:rsidR="00C137FB" w:rsidRPr="00C11F8A">
        <w:rPr>
          <w:rFonts w:ascii="Garamond" w:hAnsi="Garamond"/>
        </w:rPr>
        <w:t xml:space="preserve"> </w:t>
      </w:r>
      <w:r w:rsidR="00C137FB" w:rsidRPr="00956F18">
        <w:rPr>
          <w:rFonts w:ascii="Garamond" w:hAnsi="Garamond"/>
        </w:rPr>
        <w:t>Taft</w:t>
      </w:r>
      <w:r w:rsidR="00C137FB">
        <w:rPr>
          <w:rFonts w:ascii="Garamond" w:hAnsi="Garamond"/>
          <w:b/>
          <w:bCs/>
        </w:rPr>
        <w:t xml:space="preserve"> </w:t>
      </w:r>
      <w:r w:rsidR="00C137FB">
        <w:rPr>
          <w:rFonts w:ascii="Garamond" w:hAnsi="Garamond"/>
        </w:rPr>
        <w:t>established the U.S. oil reserves at Elk and Buena Vista Hills</w:t>
      </w:r>
      <w:r w:rsidR="001F7435">
        <w:rPr>
          <w:rFonts w:ascii="Garamond" w:hAnsi="Garamond"/>
        </w:rPr>
        <w:t xml:space="preserve"> to ensure the supply of this oil</w:t>
      </w:r>
      <w:r w:rsidR="00C137FB">
        <w:rPr>
          <w:rFonts w:ascii="Garamond" w:hAnsi="Garamond"/>
        </w:rPr>
        <w:t xml:space="preserve">. </w:t>
      </w:r>
      <w:r w:rsidR="00BB04C9">
        <w:rPr>
          <w:rFonts w:ascii="Garamond" w:hAnsi="Garamond"/>
        </w:rPr>
        <w:t xml:space="preserve">Like the British, oil was now critical to the U.S.’s security. </w:t>
      </w:r>
      <w:r w:rsidR="00400498">
        <w:rPr>
          <w:rFonts w:ascii="Garamond" w:hAnsi="Garamond"/>
        </w:rPr>
        <w:t xml:space="preserve">In 1913, Secretary of the Navy </w:t>
      </w:r>
      <w:r w:rsidR="00EC0929">
        <w:rPr>
          <w:rFonts w:ascii="Garamond" w:hAnsi="Garamond"/>
        </w:rPr>
        <w:t xml:space="preserve">Josephus Daniels </w:t>
      </w:r>
      <w:r w:rsidR="00400498">
        <w:rPr>
          <w:rFonts w:ascii="Garamond" w:hAnsi="Garamond"/>
        </w:rPr>
        <w:t xml:space="preserve">then proposed a government owned pipeline that would facilitate the transfer of oil across the United States – the Wilson Administration shot this down in favor of regulation, but it indicates that officials were </w:t>
      </w:r>
      <w:r w:rsidR="00400498">
        <w:rPr>
          <w:rFonts w:ascii="Garamond" w:hAnsi="Garamond"/>
        </w:rPr>
        <w:lastRenderedPageBreak/>
        <w:t xml:space="preserve">thinking about the need for the government </w:t>
      </w:r>
      <w:r>
        <w:rPr>
          <w:rFonts w:ascii="Garamond" w:hAnsi="Garamond"/>
        </w:rPr>
        <w:t xml:space="preserve">involvement </w:t>
      </w:r>
      <w:r w:rsidR="00400498">
        <w:rPr>
          <w:rFonts w:ascii="Garamond" w:hAnsi="Garamond"/>
        </w:rPr>
        <w:t>to ensure the security of an emerging national security resource.</w:t>
      </w:r>
      <w:r w:rsidR="00C137FB">
        <w:rPr>
          <w:rStyle w:val="FootnoteReference"/>
          <w:rFonts w:ascii="Garamond" w:hAnsi="Garamond"/>
        </w:rPr>
        <w:footnoteReference w:id="29"/>
      </w:r>
      <w:r w:rsidR="00EC0929">
        <w:rPr>
          <w:rStyle w:val="FootnoteReference"/>
          <w:rFonts w:ascii="Garamond" w:hAnsi="Garamond"/>
        </w:rPr>
        <w:t xml:space="preserve"> </w:t>
      </w:r>
      <w:r w:rsidR="00EC0929">
        <w:rPr>
          <w:rFonts w:ascii="Garamond" w:hAnsi="Garamond"/>
        </w:rPr>
        <w:t xml:space="preserve"> Daniels’ idea for a government controlled oil pipeline became known as the Daniels plan.</w:t>
      </w:r>
      <w:r w:rsidR="00EC0929">
        <w:rPr>
          <w:rStyle w:val="FootnoteReference"/>
          <w:rFonts w:ascii="Garamond" w:hAnsi="Garamond"/>
        </w:rPr>
        <w:footnoteReference w:id="30"/>
      </w:r>
      <w:r w:rsidR="00EC0929">
        <w:rPr>
          <w:rFonts w:ascii="Garamond" w:hAnsi="Garamond"/>
        </w:rPr>
        <w:t xml:space="preserve"> </w:t>
      </w:r>
      <w:r w:rsidR="00400498">
        <w:rPr>
          <w:rFonts w:ascii="Garamond" w:hAnsi="Garamond"/>
        </w:rPr>
        <w:t>Washington</w:t>
      </w:r>
      <w:r w:rsidR="00BB04C9">
        <w:rPr>
          <w:rFonts w:ascii="Garamond" w:hAnsi="Garamond"/>
        </w:rPr>
        <w:t xml:space="preserve">, however, did not switch its fleet to oil as fast as the British did, and, in 1913, found </w:t>
      </w:r>
      <w:r w:rsidR="0071608B">
        <w:rPr>
          <w:rFonts w:ascii="Garamond" w:hAnsi="Garamond"/>
        </w:rPr>
        <w:t>itself</w:t>
      </w:r>
      <w:r w:rsidR="00BB04C9">
        <w:rPr>
          <w:rFonts w:ascii="Garamond" w:hAnsi="Garamond"/>
        </w:rPr>
        <w:t xml:space="preserve"> unprepared for a </w:t>
      </w:r>
      <w:r w:rsidR="005D7E21">
        <w:rPr>
          <w:rFonts w:ascii="Garamond" w:hAnsi="Garamond"/>
        </w:rPr>
        <w:t>potential conflagration with Japan</w:t>
      </w:r>
      <w:r w:rsidR="0071608B">
        <w:rPr>
          <w:rFonts w:ascii="Garamond" w:hAnsi="Garamond"/>
        </w:rPr>
        <w:t xml:space="preserve">. </w:t>
      </w:r>
      <w:r w:rsidR="005D7E21">
        <w:rPr>
          <w:rFonts w:ascii="Garamond" w:hAnsi="Garamond"/>
        </w:rPr>
        <w:t xml:space="preserve">Although some pundits denied the need for an </w:t>
      </w:r>
      <w:r w:rsidR="00BF0FE2">
        <w:rPr>
          <w:rFonts w:ascii="Garamond" w:hAnsi="Garamond"/>
        </w:rPr>
        <w:t>oil-based</w:t>
      </w:r>
      <w:r w:rsidR="005D7E21">
        <w:rPr>
          <w:rFonts w:ascii="Garamond" w:hAnsi="Garamond"/>
        </w:rPr>
        <w:t xml:space="preserve"> navy, an inclination towards oil began to grow amongst a small group of policymakers because of its national security considerations. </w:t>
      </w:r>
    </w:p>
    <w:p w14:paraId="4280DC03" w14:textId="77777777" w:rsidR="0030323A" w:rsidRDefault="0030323A" w:rsidP="0030323A">
      <w:pPr>
        <w:pStyle w:val="Heading2"/>
        <w:numPr>
          <w:ilvl w:val="0"/>
          <w:numId w:val="32"/>
        </w:numPr>
        <w:rPr>
          <w:rFonts w:ascii="Garamond" w:hAnsi="Garamond"/>
          <w:color w:val="000000" w:themeColor="text1"/>
        </w:rPr>
      </w:pPr>
      <w:bookmarkStart w:id="6" w:name="_Toc66731775"/>
      <w:r w:rsidRPr="00E92768">
        <w:rPr>
          <w:rFonts w:ascii="Garamond" w:hAnsi="Garamond"/>
          <w:color w:val="000000" w:themeColor="text1"/>
        </w:rPr>
        <w:t xml:space="preserve">Sykes – Picot, Wartime Promises and Long </w:t>
      </w:r>
      <w:r>
        <w:rPr>
          <w:rFonts w:ascii="Garamond" w:hAnsi="Garamond"/>
          <w:color w:val="000000" w:themeColor="text1"/>
        </w:rPr>
        <w:t>–</w:t>
      </w:r>
      <w:r w:rsidRPr="00E92768">
        <w:rPr>
          <w:rFonts w:ascii="Garamond" w:hAnsi="Garamond"/>
          <w:color w:val="000000" w:themeColor="text1"/>
        </w:rPr>
        <w:t xml:space="preserve"> Bérenger</w:t>
      </w:r>
      <w:bookmarkEnd w:id="6"/>
    </w:p>
    <w:p w14:paraId="64853BD9" w14:textId="77777777" w:rsidR="0030323A" w:rsidRPr="00E92768" w:rsidRDefault="0030323A" w:rsidP="0030323A"/>
    <w:p w14:paraId="6655EF16" w14:textId="6D44F185"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On January 3, 1916, Sir Marks Sykes of England and François Georges–Picot of France </w:t>
      </w:r>
      <w:r w:rsidR="00C10E80">
        <w:rPr>
          <w:rFonts w:ascii="Garamond" w:hAnsi="Garamond"/>
          <w:color w:val="000000" w:themeColor="text1"/>
        </w:rPr>
        <w:t xml:space="preserve">divided </w:t>
      </w:r>
      <w:r w:rsidRPr="001B1C7A">
        <w:rPr>
          <w:rFonts w:ascii="Garamond" w:hAnsi="Garamond"/>
          <w:color w:val="000000" w:themeColor="text1"/>
        </w:rPr>
        <w:t>the post-World War I Middle East into spheres of influence</w:t>
      </w:r>
      <w:r w:rsidR="00926465">
        <w:rPr>
          <w:rFonts w:ascii="Garamond" w:hAnsi="Garamond"/>
          <w:color w:val="000000" w:themeColor="text1"/>
        </w:rPr>
        <w:t xml:space="preserve">. </w:t>
      </w:r>
      <w:r w:rsidRPr="001B1C7A">
        <w:rPr>
          <w:rFonts w:ascii="Garamond" w:hAnsi="Garamond"/>
          <w:color w:val="000000" w:themeColor="text1"/>
        </w:rPr>
        <w:t>England would receive current day Palestine</w:t>
      </w:r>
      <w:r w:rsidR="003C2A4B">
        <w:rPr>
          <w:rFonts w:ascii="Garamond" w:hAnsi="Garamond"/>
          <w:color w:val="000000" w:themeColor="text1"/>
        </w:rPr>
        <w:t>,</w:t>
      </w:r>
      <w:r w:rsidRPr="001B1C7A">
        <w:rPr>
          <w:rFonts w:ascii="Garamond" w:hAnsi="Garamond"/>
          <w:color w:val="000000" w:themeColor="text1"/>
        </w:rPr>
        <w:t xml:space="preserve"> and </w:t>
      </w:r>
      <w:r w:rsidR="00C10E80">
        <w:rPr>
          <w:rFonts w:ascii="Garamond" w:hAnsi="Garamond"/>
          <w:color w:val="000000" w:themeColor="text1"/>
        </w:rPr>
        <w:t>Mesopotamia (Iraq)</w:t>
      </w:r>
      <w:r w:rsidR="00926465">
        <w:rPr>
          <w:rFonts w:ascii="Garamond" w:hAnsi="Garamond"/>
          <w:color w:val="000000" w:themeColor="text1"/>
        </w:rPr>
        <w:t xml:space="preserve"> and</w:t>
      </w:r>
      <w:r w:rsidRPr="001B1C7A">
        <w:rPr>
          <w:rFonts w:ascii="Garamond" w:hAnsi="Garamond"/>
          <w:color w:val="000000" w:themeColor="text1"/>
        </w:rPr>
        <w:t xml:space="preserve"> France would </w:t>
      </w:r>
      <w:r w:rsidR="00C10E80">
        <w:rPr>
          <w:rFonts w:ascii="Garamond" w:hAnsi="Garamond"/>
          <w:color w:val="000000" w:themeColor="text1"/>
        </w:rPr>
        <w:t>receive</w:t>
      </w:r>
      <w:r w:rsidRPr="001B1C7A">
        <w:rPr>
          <w:rFonts w:ascii="Garamond" w:hAnsi="Garamond"/>
          <w:color w:val="000000" w:themeColor="text1"/>
        </w:rPr>
        <w:t xml:space="preserve"> Greater Syria, comprised of current day Lebanon, Syria and Mosul.</w:t>
      </w:r>
      <w:r w:rsidR="00926465">
        <w:rPr>
          <w:rStyle w:val="FootnoteReference"/>
          <w:rFonts w:ascii="Garamond" w:hAnsi="Garamond"/>
          <w:color w:val="000000" w:themeColor="text1"/>
        </w:rPr>
        <w:footnoteReference w:id="31"/>
      </w:r>
      <w:r w:rsidR="00926465" w:rsidRPr="001B1C7A">
        <w:rPr>
          <w:rFonts w:ascii="Garamond" w:hAnsi="Garamond"/>
          <w:color w:val="000000" w:themeColor="text1"/>
        </w:rPr>
        <w:t xml:space="preserve"> </w:t>
      </w:r>
      <w:r w:rsidRPr="001B1C7A">
        <w:rPr>
          <w:rFonts w:ascii="Garamond" w:hAnsi="Garamond"/>
          <w:color w:val="000000" w:themeColor="text1"/>
        </w:rPr>
        <w:t xml:space="preserve">Sykes–Picot also </w:t>
      </w:r>
      <w:r w:rsidR="00C137FB">
        <w:rPr>
          <w:rFonts w:ascii="Garamond" w:hAnsi="Garamond"/>
          <w:color w:val="000000" w:themeColor="text1"/>
        </w:rPr>
        <w:t>ceded</w:t>
      </w:r>
      <w:r w:rsidR="00C137FB" w:rsidRPr="001B1C7A">
        <w:rPr>
          <w:rFonts w:ascii="Garamond" w:hAnsi="Garamond"/>
          <w:color w:val="000000" w:themeColor="text1"/>
        </w:rPr>
        <w:t xml:space="preserve"> </w:t>
      </w:r>
      <w:r w:rsidRPr="001B1C7A">
        <w:rPr>
          <w:rFonts w:ascii="Garamond" w:hAnsi="Garamond"/>
          <w:color w:val="000000" w:themeColor="text1"/>
        </w:rPr>
        <w:t>the Dardanelles and Bosporus straits to Tsarist Russia</w:t>
      </w:r>
      <w:r w:rsidR="00045017">
        <w:rPr>
          <w:rFonts w:ascii="Garamond" w:hAnsi="Garamond"/>
          <w:color w:val="000000" w:themeColor="text1"/>
        </w:rPr>
        <w:t>.</w:t>
      </w:r>
      <w:r w:rsidRPr="001B1C7A">
        <w:rPr>
          <w:rStyle w:val="FootnoteReference"/>
          <w:rFonts w:ascii="Garamond" w:hAnsi="Garamond"/>
          <w:color w:val="000000" w:themeColor="text1"/>
        </w:rPr>
        <w:footnoteReference w:id="32"/>
      </w:r>
      <w:r w:rsidRPr="001B1C7A">
        <w:rPr>
          <w:rFonts w:ascii="Garamond" w:hAnsi="Garamond"/>
          <w:color w:val="000000" w:themeColor="text1"/>
        </w:rPr>
        <w:t xml:space="preserve"> England, however, made concurrent, contradictory promises to </w:t>
      </w:r>
      <w:r w:rsidR="00C10E80">
        <w:rPr>
          <w:rFonts w:ascii="Garamond" w:hAnsi="Garamond"/>
          <w:color w:val="000000" w:themeColor="text1"/>
        </w:rPr>
        <w:t>Arab leaders</w:t>
      </w:r>
      <w:r w:rsidRPr="001B1C7A">
        <w:rPr>
          <w:rFonts w:ascii="Garamond" w:hAnsi="Garamond"/>
          <w:color w:val="000000" w:themeColor="text1"/>
        </w:rPr>
        <w:t xml:space="preserve"> and Zionists. In late 1915, British High Commissioner to Egypt, Henry McMahon, promised King Hussein bin Ali support for Arab independence if they revolted against the Ottomans.</w:t>
      </w:r>
      <w:r w:rsidR="00855E6E">
        <w:rPr>
          <w:rStyle w:val="FootnoteReference"/>
          <w:rFonts w:ascii="Garamond" w:hAnsi="Garamond"/>
          <w:color w:val="000000" w:themeColor="text1"/>
        </w:rPr>
        <w:footnoteReference w:id="33"/>
      </w:r>
      <w:r w:rsidRPr="001B1C7A">
        <w:rPr>
          <w:rFonts w:ascii="Garamond" w:hAnsi="Garamond"/>
          <w:color w:val="000000" w:themeColor="text1"/>
        </w:rPr>
        <w:t xml:space="preserve"> </w:t>
      </w:r>
      <w:r w:rsidR="00926465">
        <w:rPr>
          <w:rFonts w:ascii="Garamond" w:hAnsi="Garamond"/>
          <w:color w:val="000000" w:themeColor="text1"/>
        </w:rPr>
        <w:t>L</w:t>
      </w:r>
      <w:r w:rsidR="00926465" w:rsidRPr="001B1C7A">
        <w:rPr>
          <w:rFonts w:ascii="Garamond" w:hAnsi="Garamond"/>
          <w:color w:val="000000" w:themeColor="text1"/>
        </w:rPr>
        <w:t>ikewise</w:t>
      </w:r>
      <w:r w:rsidR="003C2A4B">
        <w:rPr>
          <w:rFonts w:ascii="Garamond" w:hAnsi="Garamond"/>
          <w:color w:val="000000" w:themeColor="text1"/>
        </w:rPr>
        <w:t>, British</w:t>
      </w:r>
      <w:r w:rsidR="00926465" w:rsidRPr="001B1C7A">
        <w:rPr>
          <w:rFonts w:ascii="Garamond" w:hAnsi="Garamond"/>
          <w:color w:val="000000" w:themeColor="text1"/>
        </w:rPr>
        <w:t xml:space="preserve"> </w:t>
      </w:r>
      <w:r w:rsidRPr="001B1C7A">
        <w:rPr>
          <w:rFonts w:ascii="Garamond" w:hAnsi="Garamond"/>
          <w:color w:val="000000" w:themeColor="text1"/>
        </w:rPr>
        <w:t>Foreign Secretary Arthur Balfour, in 1917, promised the Zionists support for a “national home for the Jewish people” in Palestine.</w:t>
      </w:r>
      <w:r w:rsidR="00C137FB">
        <w:rPr>
          <w:rStyle w:val="FootnoteReference"/>
          <w:rFonts w:ascii="Garamond" w:hAnsi="Garamond"/>
          <w:color w:val="000000" w:themeColor="text1"/>
        </w:rPr>
        <w:footnoteReference w:id="34"/>
      </w:r>
      <w:r w:rsidRPr="001B1C7A">
        <w:rPr>
          <w:rFonts w:ascii="Garamond" w:hAnsi="Garamond"/>
          <w:color w:val="000000" w:themeColor="text1"/>
        </w:rPr>
        <w:t xml:space="preserve"> These agreements </w:t>
      </w:r>
      <w:r w:rsidR="00926465">
        <w:rPr>
          <w:rFonts w:ascii="Garamond" w:hAnsi="Garamond"/>
          <w:color w:val="000000" w:themeColor="text1"/>
        </w:rPr>
        <w:t xml:space="preserve">haunt the Middle East today. </w:t>
      </w:r>
    </w:p>
    <w:p w14:paraId="09C2177B" w14:textId="03ADF2F2"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Before the end of World War I, the British realized that including Mosul in their Sykes – Picot sphere of influence was necessary for oil considerations. </w:t>
      </w:r>
      <w:r w:rsidR="00045017">
        <w:rPr>
          <w:rFonts w:ascii="Garamond" w:hAnsi="Garamond"/>
          <w:color w:val="000000" w:themeColor="text1"/>
        </w:rPr>
        <w:t>As</w:t>
      </w:r>
      <w:r w:rsidRPr="001B1C7A">
        <w:rPr>
          <w:rFonts w:ascii="Garamond" w:hAnsi="Garamond"/>
          <w:color w:val="000000" w:themeColor="text1"/>
        </w:rPr>
        <w:t xml:space="preserve"> World War I </w:t>
      </w:r>
      <w:r w:rsidR="00045017">
        <w:rPr>
          <w:rFonts w:ascii="Garamond" w:hAnsi="Garamond"/>
          <w:color w:val="000000" w:themeColor="text1"/>
        </w:rPr>
        <w:t>concluded</w:t>
      </w:r>
      <w:r w:rsidRPr="001B1C7A">
        <w:rPr>
          <w:rFonts w:ascii="Garamond" w:hAnsi="Garamond"/>
          <w:color w:val="000000" w:themeColor="text1"/>
        </w:rPr>
        <w:t xml:space="preserve">, the French and British tied negotiations of a new </w:t>
      </w:r>
      <w:r>
        <w:rPr>
          <w:rFonts w:ascii="Garamond" w:hAnsi="Garamond"/>
          <w:color w:val="000000" w:themeColor="text1"/>
        </w:rPr>
        <w:t>T.P.C.</w:t>
      </w:r>
      <w:r w:rsidRPr="001B1C7A">
        <w:rPr>
          <w:rFonts w:ascii="Garamond" w:hAnsi="Garamond"/>
          <w:color w:val="000000" w:themeColor="text1"/>
        </w:rPr>
        <w:t xml:space="preserve"> structure to those of revised Sykes – Picot boundaries, again agreeing to rebuff American interest in the agreement</w:t>
      </w:r>
      <w:r>
        <w:rPr>
          <w:rFonts w:ascii="Garamond" w:hAnsi="Garamond"/>
          <w:color w:val="000000" w:themeColor="text1"/>
        </w:rPr>
        <w:t xml:space="preserve">. </w:t>
      </w:r>
      <w:r w:rsidRPr="001B1C7A">
        <w:rPr>
          <w:rFonts w:ascii="Garamond" w:hAnsi="Garamond"/>
          <w:color w:val="000000" w:themeColor="text1"/>
        </w:rPr>
        <w:t xml:space="preserve">A meeting between French Commissioner General for Fuel, Henri Bérenger, and Walter Long, the British Minister for Fuel, </w:t>
      </w:r>
      <w:r w:rsidRPr="001B1C7A">
        <w:rPr>
          <w:rFonts w:ascii="Garamond" w:hAnsi="Garamond"/>
          <w:color w:val="000000" w:themeColor="text1"/>
        </w:rPr>
        <w:lastRenderedPageBreak/>
        <w:t xml:space="preserve">saw a French offer to cede Mosul to Britain in exchange for receiving Deutsche Bank’s </w:t>
      </w:r>
      <w:r w:rsidR="00C137FB">
        <w:rPr>
          <w:rFonts w:ascii="Garamond" w:hAnsi="Garamond"/>
          <w:color w:val="000000" w:themeColor="text1"/>
        </w:rPr>
        <w:t xml:space="preserve">relinquished </w:t>
      </w:r>
      <w:r w:rsidRPr="001B1C7A">
        <w:rPr>
          <w:rFonts w:ascii="Garamond" w:hAnsi="Garamond"/>
          <w:color w:val="000000" w:themeColor="text1"/>
        </w:rPr>
        <w:t xml:space="preserve">share in the </w:t>
      </w:r>
      <w:r>
        <w:rPr>
          <w:rFonts w:ascii="Garamond" w:hAnsi="Garamond"/>
          <w:color w:val="000000" w:themeColor="text1"/>
        </w:rPr>
        <w:t>T.P.C.</w:t>
      </w:r>
      <w:r w:rsidRPr="001B1C7A">
        <w:rPr>
          <w:rStyle w:val="FootnoteReference"/>
          <w:rFonts w:ascii="Garamond" w:hAnsi="Garamond"/>
          <w:color w:val="000000" w:themeColor="text1"/>
        </w:rPr>
        <w:footnoteReference w:id="35"/>
      </w:r>
      <w:r w:rsidRPr="001B1C7A">
        <w:rPr>
          <w:rFonts w:ascii="Garamond" w:hAnsi="Garamond"/>
          <w:color w:val="000000" w:themeColor="text1"/>
        </w:rPr>
        <w:t xml:space="preserve"> France also allowed a pipeline to run through its Syrian territory to the Eastern Mediterranean. </w:t>
      </w:r>
      <w:r w:rsidR="003C2A4B">
        <w:rPr>
          <w:rFonts w:ascii="Garamond" w:hAnsi="Garamond"/>
          <w:color w:val="000000" w:themeColor="text1"/>
        </w:rPr>
        <w:t xml:space="preserve">This became known as the Long – Bérenger agreement. </w:t>
      </w:r>
      <w:r w:rsidRPr="001B1C7A">
        <w:rPr>
          <w:rFonts w:ascii="Garamond" w:hAnsi="Garamond"/>
          <w:color w:val="000000" w:themeColor="text1"/>
        </w:rPr>
        <w:t xml:space="preserve">The ideas of this meeting did not become policy until late 1919, but upper-echelon negotiations had commenced as soon as December 1918 to form an exclusively British, French and Dutch </w:t>
      </w:r>
      <w:r>
        <w:rPr>
          <w:rFonts w:ascii="Garamond" w:hAnsi="Garamond"/>
          <w:color w:val="000000" w:themeColor="text1"/>
        </w:rPr>
        <w:t>T.P.C.</w:t>
      </w:r>
      <w:r w:rsidRPr="001B1C7A">
        <w:rPr>
          <w:rFonts w:ascii="Garamond" w:hAnsi="Garamond"/>
          <w:color w:val="000000" w:themeColor="text1"/>
        </w:rPr>
        <w:t xml:space="preserve"> The scope of Britain’s contradictory promises indicates why neither Britain, nor France, would jump at the opportunity to sponsor a commission to gauge Middle Eastern attitudes</w:t>
      </w:r>
      <w:r w:rsidR="003C2A4B">
        <w:rPr>
          <w:rFonts w:ascii="Garamond" w:hAnsi="Garamond"/>
          <w:color w:val="000000" w:themeColor="text1"/>
        </w:rPr>
        <w:t>, which would probably rebuke their secret agreements</w:t>
      </w:r>
      <w:r w:rsidRPr="001B1C7A">
        <w:rPr>
          <w:rFonts w:ascii="Garamond" w:hAnsi="Garamond"/>
          <w:color w:val="000000" w:themeColor="text1"/>
        </w:rPr>
        <w:t>. Between 1888</w:t>
      </w:r>
      <w:r w:rsidR="0052086B">
        <w:rPr>
          <w:rFonts w:ascii="Garamond" w:hAnsi="Garamond"/>
          <w:color w:val="000000" w:themeColor="text1"/>
        </w:rPr>
        <w:t xml:space="preserve"> and</w:t>
      </w:r>
      <w:r w:rsidRPr="001B1C7A">
        <w:rPr>
          <w:rFonts w:ascii="Garamond" w:hAnsi="Garamond"/>
          <w:color w:val="000000" w:themeColor="text1"/>
        </w:rPr>
        <w:t xml:space="preserve"> 1920, Europeans rebuffed or conspired against American attempts to enter the Middle Eastern oil market, ranging from nascent attempts such as that of Chester’s, to well-financed Standard Oil propositions.</w:t>
      </w:r>
      <w:r w:rsidR="005D7E21">
        <w:rPr>
          <w:rFonts w:ascii="Garamond" w:hAnsi="Garamond"/>
          <w:color w:val="000000" w:themeColor="text1"/>
        </w:rPr>
        <w:t xml:space="preserve"> As oil was becoming imperative for naval competition with Japan, European’s exclusion of U.S. companies from the Middle East threatened a resource critical to U.S. national security. </w:t>
      </w:r>
      <w:r w:rsidRPr="001B1C7A">
        <w:rPr>
          <w:rFonts w:ascii="Garamond" w:hAnsi="Garamond"/>
          <w:color w:val="000000" w:themeColor="text1"/>
        </w:rPr>
        <w:t xml:space="preserve"> </w:t>
      </w:r>
    </w:p>
    <w:p w14:paraId="32405A65" w14:textId="77777777" w:rsidR="0030323A" w:rsidRDefault="0030323A" w:rsidP="0030323A">
      <w:pPr>
        <w:pStyle w:val="Heading2"/>
        <w:numPr>
          <w:ilvl w:val="0"/>
          <w:numId w:val="32"/>
        </w:numPr>
        <w:rPr>
          <w:rFonts w:ascii="Garamond" w:hAnsi="Garamond"/>
          <w:color w:val="000000" w:themeColor="text1"/>
        </w:rPr>
      </w:pPr>
      <w:bookmarkStart w:id="7" w:name="_Toc66731776"/>
      <w:r w:rsidRPr="00E92768">
        <w:rPr>
          <w:rFonts w:ascii="Garamond" w:hAnsi="Garamond"/>
          <w:color w:val="000000" w:themeColor="text1"/>
        </w:rPr>
        <w:t>Fighting in the Middle East</w:t>
      </w:r>
      <w:bookmarkEnd w:id="7"/>
    </w:p>
    <w:p w14:paraId="69D8A2D7" w14:textId="77777777" w:rsidR="0030323A" w:rsidRPr="00E92768" w:rsidRDefault="0030323A" w:rsidP="0030323A"/>
    <w:p w14:paraId="675A049F" w14:textId="2C170B68" w:rsidR="0030323A" w:rsidRPr="001B1C7A" w:rsidRDefault="0030323A" w:rsidP="00680558">
      <w:pPr>
        <w:spacing w:line="480" w:lineRule="auto"/>
        <w:ind w:firstLine="360"/>
        <w:rPr>
          <w:rFonts w:ascii="Garamond" w:hAnsi="Garamond"/>
          <w:i/>
          <w:iCs/>
          <w:color w:val="000000" w:themeColor="text1"/>
        </w:rPr>
      </w:pPr>
      <w:r w:rsidRPr="001B1C7A">
        <w:rPr>
          <w:rFonts w:ascii="Garamond" w:hAnsi="Garamond"/>
          <w:color w:val="000000" w:themeColor="text1"/>
        </w:rPr>
        <w:t xml:space="preserve">The Middle East constituted a significant </w:t>
      </w:r>
      <w:r w:rsidR="00671393" w:rsidRPr="001B1C7A">
        <w:rPr>
          <w:rFonts w:ascii="Garamond" w:hAnsi="Garamond"/>
          <w:color w:val="000000" w:themeColor="text1"/>
        </w:rPr>
        <w:t>World War I</w:t>
      </w:r>
      <w:r w:rsidR="00671393">
        <w:rPr>
          <w:rFonts w:ascii="Garamond" w:hAnsi="Garamond"/>
          <w:color w:val="000000" w:themeColor="text1"/>
        </w:rPr>
        <w:t xml:space="preserve"> </w:t>
      </w:r>
      <w:r w:rsidRPr="001B1C7A">
        <w:rPr>
          <w:rFonts w:ascii="Garamond" w:hAnsi="Garamond"/>
          <w:color w:val="000000" w:themeColor="text1"/>
        </w:rPr>
        <w:t>battleground</w:t>
      </w:r>
      <w:r w:rsidR="00671393">
        <w:rPr>
          <w:rFonts w:ascii="Garamond" w:hAnsi="Garamond"/>
          <w:color w:val="000000" w:themeColor="text1"/>
        </w:rPr>
        <w:t xml:space="preserve">. </w:t>
      </w:r>
      <w:r w:rsidRPr="001B1C7A">
        <w:rPr>
          <w:rFonts w:ascii="Garamond" w:hAnsi="Garamond"/>
          <w:color w:val="000000" w:themeColor="text1"/>
        </w:rPr>
        <w:t xml:space="preserve">In winter of 1915, the </w:t>
      </w:r>
      <w:r w:rsidR="003C2A4B">
        <w:rPr>
          <w:rFonts w:ascii="Garamond" w:hAnsi="Garamond"/>
          <w:color w:val="000000" w:themeColor="text1"/>
        </w:rPr>
        <w:t>Ottoman</w:t>
      </w:r>
      <w:r w:rsidRPr="001B1C7A">
        <w:rPr>
          <w:rFonts w:ascii="Garamond" w:hAnsi="Garamond"/>
          <w:color w:val="000000" w:themeColor="text1"/>
        </w:rPr>
        <w:t xml:space="preserve"> Minister of War, Enver Pasha, began </w:t>
      </w:r>
      <w:r w:rsidR="003C2A4B">
        <w:rPr>
          <w:rFonts w:ascii="Garamond" w:hAnsi="Garamond"/>
          <w:color w:val="000000" w:themeColor="text1"/>
        </w:rPr>
        <w:t>his</w:t>
      </w:r>
      <w:r w:rsidR="003C2A4B" w:rsidRPr="001B1C7A">
        <w:rPr>
          <w:rFonts w:ascii="Garamond" w:hAnsi="Garamond"/>
          <w:color w:val="000000" w:themeColor="text1"/>
        </w:rPr>
        <w:t xml:space="preserve"> </w:t>
      </w:r>
      <w:r w:rsidRPr="001B1C7A">
        <w:rPr>
          <w:rFonts w:ascii="Garamond" w:hAnsi="Garamond"/>
          <w:color w:val="000000" w:themeColor="text1"/>
        </w:rPr>
        <w:t>campaign by leading 100,000 soldiers through Eastern Anatolia to attack Russia, only to see results similar to that of Napoleon.</w:t>
      </w:r>
      <w:r w:rsidR="00C137FB">
        <w:rPr>
          <w:rStyle w:val="FootnoteReference"/>
          <w:rFonts w:ascii="Garamond" w:hAnsi="Garamond"/>
          <w:color w:val="000000" w:themeColor="text1"/>
        </w:rPr>
        <w:footnoteReference w:id="36"/>
      </w:r>
      <w:r w:rsidRPr="001B1C7A">
        <w:rPr>
          <w:rFonts w:ascii="Garamond" w:hAnsi="Garamond"/>
          <w:color w:val="000000" w:themeColor="text1"/>
        </w:rPr>
        <w:t xml:space="preserve"> Jamal Pasha, another upper echelon Young Turk, led a failed attack on the British position at the Suez Canal.</w:t>
      </w:r>
      <w:r>
        <w:rPr>
          <w:rStyle w:val="FootnoteReference"/>
          <w:rFonts w:ascii="Garamond" w:hAnsi="Garamond"/>
          <w:color w:val="000000" w:themeColor="text1"/>
        </w:rPr>
        <w:footnoteReference w:id="37"/>
      </w:r>
      <w:r w:rsidRPr="001B1C7A">
        <w:rPr>
          <w:rFonts w:ascii="Garamond" w:hAnsi="Garamond"/>
          <w:color w:val="000000" w:themeColor="text1"/>
        </w:rPr>
        <w:t xml:space="preserve"> A year later, the Ottomans saw more success, handing </w:t>
      </w:r>
      <w:r w:rsidR="003C2A4B">
        <w:rPr>
          <w:rFonts w:ascii="Garamond" w:hAnsi="Garamond"/>
          <w:color w:val="000000" w:themeColor="text1"/>
        </w:rPr>
        <w:t xml:space="preserve">Winston </w:t>
      </w:r>
      <w:r w:rsidRPr="001B1C7A">
        <w:rPr>
          <w:rFonts w:ascii="Garamond" w:hAnsi="Garamond"/>
          <w:color w:val="000000" w:themeColor="text1"/>
        </w:rPr>
        <w:t>Churchill the most embarrassing defeat of his career during an attempted British naval attack at Gallipoli.</w:t>
      </w:r>
      <w:r w:rsidR="003C2A4B">
        <w:rPr>
          <w:rStyle w:val="FootnoteReference"/>
          <w:rFonts w:ascii="Garamond" w:hAnsi="Garamond"/>
          <w:color w:val="000000" w:themeColor="text1"/>
        </w:rPr>
        <w:footnoteReference w:id="38"/>
      </w:r>
      <w:r w:rsidRPr="001B1C7A">
        <w:rPr>
          <w:rFonts w:ascii="Garamond" w:hAnsi="Garamond"/>
          <w:color w:val="000000" w:themeColor="text1"/>
        </w:rPr>
        <w:t xml:space="preserve"> In Kut, Mesopotamia, the Ottomans also captured 11,000 British soldiers under General Charles Townshend, after the British overextended their lines.</w:t>
      </w:r>
      <w:r>
        <w:rPr>
          <w:rStyle w:val="FootnoteReference"/>
          <w:rFonts w:ascii="Garamond" w:hAnsi="Garamond"/>
          <w:color w:val="000000" w:themeColor="text1"/>
        </w:rPr>
        <w:footnoteReference w:id="39"/>
      </w:r>
      <w:r w:rsidRPr="001B1C7A">
        <w:rPr>
          <w:rFonts w:ascii="Garamond" w:hAnsi="Garamond"/>
          <w:color w:val="000000" w:themeColor="text1"/>
        </w:rPr>
        <w:t xml:space="preserve"> In late 1917, General Edmund Allenby received command of British </w:t>
      </w:r>
      <w:r w:rsidRPr="001B1C7A">
        <w:rPr>
          <w:rFonts w:ascii="Garamond" w:hAnsi="Garamond"/>
          <w:color w:val="000000" w:themeColor="text1"/>
        </w:rPr>
        <w:lastRenderedPageBreak/>
        <w:t>forces in the Middle East, marching his troops to victories in Jerusalem, in 1917, and Aleppo and Damascus in early October 1918.</w:t>
      </w:r>
      <w:r>
        <w:rPr>
          <w:rStyle w:val="FootnoteReference"/>
          <w:rFonts w:ascii="Garamond" w:hAnsi="Garamond"/>
          <w:color w:val="000000" w:themeColor="text1"/>
        </w:rPr>
        <w:footnoteReference w:id="40"/>
      </w:r>
      <w:r w:rsidRPr="001B1C7A">
        <w:rPr>
          <w:rFonts w:ascii="Garamond" w:hAnsi="Garamond"/>
          <w:color w:val="000000" w:themeColor="text1"/>
        </w:rPr>
        <w:t xml:space="preserve"> On October 30, 1918, the Ottomans signed the Armistice of Mudros, and British and French occupying forces divided Middle Eastern territory into Occupied Enemy Territory Administrations (OETA).</w:t>
      </w:r>
      <w:r w:rsidR="00C137FB" w:rsidRPr="00C137FB">
        <w:rPr>
          <w:rStyle w:val="FootnoteReference"/>
          <w:rFonts w:ascii="Garamond" w:hAnsi="Garamond"/>
          <w:color w:val="000000" w:themeColor="text1"/>
        </w:rPr>
        <w:t xml:space="preserve"> </w:t>
      </w:r>
      <w:r w:rsidR="00C137FB">
        <w:rPr>
          <w:rStyle w:val="FootnoteReference"/>
          <w:rFonts w:ascii="Garamond" w:hAnsi="Garamond"/>
          <w:color w:val="000000" w:themeColor="text1"/>
        </w:rPr>
        <w:footnoteReference w:id="41"/>
      </w:r>
      <w:r w:rsidRPr="001B1C7A">
        <w:rPr>
          <w:rFonts w:ascii="Garamond" w:hAnsi="Garamond"/>
          <w:color w:val="000000" w:themeColor="text1"/>
        </w:rPr>
        <w:t xml:space="preserve"> France controlled OETA West and North, and British OETA East and South.</w:t>
      </w:r>
      <w:r w:rsidR="00C137FB">
        <w:rPr>
          <w:rStyle w:val="FootnoteReference"/>
          <w:rFonts w:ascii="Garamond" w:hAnsi="Garamond"/>
          <w:color w:val="000000" w:themeColor="text1"/>
        </w:rPr>
        <w:footnoteReference w:id="42"/>
      </w:r>
      <w:r w:rsidRPr="001B1C7A">
        <w:rPr>
          <w:rFonts w:ascii="Garamond" w:hAnsi="Garamond"/>
          <w:color w:val="000000" w:themeColor="text1"/>
        </w:rPr>
        <w:t xml:space="preserve"> The OETA’s aligned </w:t>
      </w:r>
      <w:r w:rsidR="00671393">
        <w:rPr>
          <w:rFonts w:ascii="Garamond" w:hAnsi="Garamond"/>
          <w:color w:val="000000" w:themeColor="text1"/>
        </w:rPr>
        <w:t xml:space="preserve">roughly </w:t>
      </w:r>
      <w:r w:rsidRPr="001B1C7A">
        <w:rPr>
          <w:rFonts w:ascii="Garamond" w:hAnsi="Garamond"/>
          <w:color w:val="000000" w:themeColor="text1"/>
        </w:rPr>
        <w:t xml:space="preserve">with the Sykes – Picot agreement. </w:t>
      </w:r>
    </w:p>
    <w:p w14:paraId="0370462B" w14:textId="6F51EC38" w:rsidR="0030323A" w:rsidRDefault="0030323A" w:rsidP="0030323A">
      <w:pPr>
        <w:pStyle w:val="Heading2"/>
        <w:numPr>
          <w:ilvl w:val="0"/>
          <w:numId w:val="32"/>
        </w:numPr>
        <w:rPr>
          <w:rFonts w:ascii="Garamond" w:hAnsi="Garamond"/>
          <w:color w:val="000000" w:themeColor="text1"/>
        </w:rPr>
      </w:pPr>
      <w:bookmarkStart w:id="8" w:name="_Toc66731777"/>
      <w:r w:rsidRPr="00E92768">
        <w:rPr>
          <w:rFonts w:ascii="Garamond" w:hAnsi="Garamond"/>
          <w:color w:val="000000" w:themeColor="text1"/>
        </w:rPr>
        <w:t>Wilsonianism and the Mandate System</w:t>
      </w:r>
      <w:bookmarkEnd w:id="8"/>
      <w:r w:rsidRPr="00E92768">
        <w:rPr>
          <w:rFonts w:ascii="Garamond" w:hAnsi="Garamond"/>
          <w:color w:val="000000" w:themeColor="text1"/>
        </w:rPr>
        <w:t xml:space="preserve">  </w:t>
      </w:r>
    </w:p>
    <w:p w14:paraId="0540A383" w14:textId="77777777" w:rsidR="0030323A" w:rsidRPr="00E92768" w:rsidRDefault="0030323A" w:rsidP="0030323A"/>
    <w:p w14:paraId="1BCD7B6F" w14:textId="531FDD64"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On January 8, 1918, in a speech to Congress, Wilson articulated 14 points the U.S</w:t>
      </w:r>
      <w:r w:rsidR="00952D99">
        <w:rPr>
          <w:rFonts w:ascii="Garamond" w:hAnsi="Garamond"/>
          <w:color w:val="000000" w:themeColor="text1"/>
        </w:rPr>
        <w:t>.</w:t>
      </w:r>
      <w:r w:rsidRPr="001B1C7A">
        <w:rPr>
          <w:rFonts w:ascii="Garamond" w:hAnsi="Garamond"/>
          <w:color w:val="000000" w:themeColor="text1"/>
        </w:rPr>
        <w:t xml:space="preserve"> and the international community should pursue to foster peace. Notably, Wilson’s 14</w:t>
      </w:r>
      <w:r w:rsidRPr="001B1C7A">
        <w:rPr>
          <w:rFonts w:ascii="Garamond" w:hAnsi="Garamond"/>
          <w:color w:val="000000" w:themeColor="text1"/>
          <w:vertAlign w:val="superscript"/>
        </w:rPr>
        <w:t>th</w:t>
      </w:r>
      <w:r w:rsidRPr="001B1C7A">
        <w:rPr>
          <w:rFonts w:ascii="Garamond" w:hAnsi="Garamond"/>
          <w:color w:val="000000" w:themeColor="text1"/>
        </w:rPr>
        <w:t xml:space="preserve"> point stated that “a general association of nations must be formed under specific covenants for the purpose of affording mutual guarantees of political independence and territorial integrity to great and small states alike</w:t>
      </w:r>
      <w:r w:rsidR="0052086B">
        <w:rPr>
          <w:rFonts w:ascii="Garamond" w:hAnsi="Garamond"/>
          <w:color w:val="000000" w:themeColor="text1"/>
        </w:rPr>
        <w:t>.</w:t>
      </w:r>
      <w:r w:rsidRPr="001B1C7A">
        <w:rPr>
          <w:rFonts w:ascii="Garamond" w:hAnsi="Garamond"/>
          <w:color w:val="000000" w:themeColor="text1"/>
        </w:rPr>
        <w:t>”</w:t>
      </w:r>
      <w:r>
        <w:rPr>
          <w:rStyle w:val="FootnoteReference"/>
          <w:rFonts w:ascii="Garamond" w:hAnsi="Garamond"/>
          <w:color w:val="000000" w:themeColor="text1"/>
        </w:rPr>
        <w:footnoteReference w:id="43"/>
      </w:r>
      <w:r w:rsidRPr="001B1C7A">
        <w:rPr>
          <w:rFonts w:ascii="Garamond" w:hAnsi="Garamond"/>
          <w:color w:val="000000" w:themeColor="text1"/>
        </w:rPr>
        <w:t xml:space="preserve"> In December 1918, at the Paris Peace Conference, President Wilson seized the opportunity to do away with old diplomacy and create a new world order</w:t>
      </w:r>
      <w:r w:rsidR="00952D99">
        <w:rPr>
          <w:rFonts w:ascii="Garamond" w:hAnsi="Garamond"/>
          <w:color w:val="000000" w:themeColor="text1"/>
        </w:rPr>
        <w:t xml:space="preserve"> </w:t>
      </w:r>
      <w:r w:rsidRPr="001B1C7A">
        <w:rPr>
          <w:rFonts w:ascii="Garamond" w:hAnsi="Garamond"/>
          <w:color w:val="000000" w:themeColor="text1"/>
        </w:rPr>
        <w:t>regulated by a multilateral body known as the League of Nations. He also endorsed self-determination, the idea that formerly oppressed populations would possess a say in their governance, and called for the liberation of marginalized populations</w:t>
      </w:r>
      <w:r w:rsidR="0052086B">
        <w:rPr>
          <w:rFonts w:ascii="Garamond" w:hAnsi="Garamond"/>
          <w:color w:val="000000" w:themeColor="text1"/>
        </w:rPr>
        <w:t xml:space="preserve"> – outside of the United States</w:t>
      </w:r>
      <w:r w:rsidRPr="001B1C7A">
        <w:rPr>
          <w:rFonts w:ascii="Garamond" w:hAnsi="Garamond"/>
          <w:color w:val="000000" w:themeColor="text1"/>
        </w:rPr>
        <w:t>. The League would, ideally, do away with the alliance structures and balance of power thinking that led to World War I. Though supported rhetorically by Britain and France, each power was devising ways to use the League to its own benefit.</w:t>
      </w:r>
      <w:r w:rsidR="00926465">
        <w:rPr>
          <w:rStyle w:val="FootnoteReference"/>
          <w:rFonts w:ascii="Garamond" w:hAnsi="Garamond"/>
          <w:color w:val="000000" w:themeColor="text1"/>
        </w:rPr>
        <w:footnoteReference w:id="44"/>
      </w:r>
      <w:r w:rsidRPr="001B1C7A">
        <w:rPr>
          <w:rFonts w:ascii="Garamond" w:hAnsi="Garamond"/>
          <w:color w:val="000000" w:themeColor="text1"/>
        </w:rPr>
        <w:t xml:space="preserve"> </w:t>
      </w:r>
    </w:p>
    <w:p w14:paraId="39FF9267" w14:textId="38000B1A" w:rsidR="00BD4137" w:rsidRPr="00E97087" w:rsidRDefault="0030323A" w:rsidP="00E97087">
      <w:pPr>
        <w:spacing w:line="480" w:lineRule="auto"/>
        <w:ind w:firstLine="360"/>
        <w:rPr>
          <w:rFonts w:ascii="Garamond" w:hAnsi="Garamond"/>
          <w:color w:val="000000" w:themeColor="text1"/>
        </w:rPr>
      </w:pPr>
      <w:r w:rsidRPr="001B1C7A">
        <w:rPr>
          <w:rFonts w:ascii="Garamond" w:hAnsi="Garamond"/>
          <w:color w:val="000000" w:themeColor="text1"/>
        </w:rPr>
        <w:t xml:space="preserve">To this end, Britain and France, with support of Britain’s dominions, construed the mandate system, first articulated in the </w:t>
      </w:r>
      <w:r w:rsidRPr="001B1C7A">
        <w:rPr>
          <w:rFonts w:ascii="Garamond" w:hAnsi="Garamond"/>
          <w:i/>
          <w:iCs/>
          <w:color w:val="000000" w:themeColor="text1"/>
        </w:rPr>
        <w:t>Resolution on Mandates</w:t>
      </w:r>
      <w:r w:rsidRPr="001B1C7A">
        <w:rPr>
          <w:rFonts w:ascii="Garamond" w:hAnsi="Garamond"/>
          <w:color w:val="000000" w:themeColor="text1"/>
        </w:rPr>
        <w:t xml:space="preserve"> on January 30, 1919, </w:t>
      </w:r>
      <w:r w:rsidR="00EA4C3C">
        <w:rPr>
          <w:rFonts w:ascii="Garamond" w:hAnsi="Garamond"/>
          <w:color w:val="000000" w:themeColor="text1"/>
        </w:rPr>
        <w:t>in which</w:t>
      </w:r>
      <w:r w:rsidR="00EA4C3C" w:rsidRPr="001B1C7A">
        <w:rPr>
          <w:rFonts w:ascii="Garamond" w:hAnsi="Garamond"/>
          <w:color w:val="000000" w:themeColor="text1"/>
        </w:rPr>
        <w:t xml:space="preserve"> </w:t>
      </w:r>
      <w:r w:rsidRPr="001B1C7A">
        <w:rPr>
          <w:rFonts w:ascii="Garamond" w:hAnsi="Garamond"/>
          <w:color w:val="000000" w:themeColor="text1"/>
        </w:rPr>
        <w:t xml:space="preserve">imperial powers would </w:t>
      </w:r>
      <w:r w:rsidR="00EA4C3C">
        <w:rPr>
          <w:rFonts w:ascii="Garamond" w:hAnsi="Garamond"/>
          <w:color w:val="000000" w:themeColor="text1"/>
        </w:rPr>
        <w:t>assume control</w:t>
      </w:r>
      <w:r w:rsidRPr="001B1C7A">
        <w:rPr>
          <w:rFonts w:ascii="Garamond" w:hAnsi="Garamond"/>
          <w:color w:val="000000" w:themeColor="text1"/>
        </w:rPr>
        <w:t xml:space="preserve"> over former German colonies and Ottoman territories.</w:t>
      </w:r>
      <w:r>
        <w:rPr>
          <w:rStyle w:val="FootnoteReference"/>
          <w:rFonts w:ascii="Garamond" w:hAnsi="Garamond"/>
          <w:color w:val="000000" w:themeColor="text1"/>
        </w:rPr>
        <w:footnoteReference w:id="45"/>
      </w:r>
      <w:r w:rsidRPr="001B1C7A">
        <w:rPr>
          <w:rFonts w:ascii="Garamond" w:hAnsi="Garamond"/>
          <w:color w:val="000000" w:themeColor="text1"/>
        </w:rPr>
        <w:t xml:space="preserve"> The length of the mandate would vary according to the degree of the territory’s development, decided by the </w:t>
      </w:r>
      <w:r w:rsidRPr="001B1C7A">
        <w:rPr>
          <w:rFonts w:ascii="Garamond" w:hAnsi="Garamond"/>
          <w:color w:val="000000" w:themeColor="text1"/>
        </w:rPr>
        <w:lastRenderedPageBreak/>
        <w:t>victorious powers’ designation of “A”, “B” or “C” mandates.</w:t>
      </w:r>
      <w:r>
        <w:rPr>
          <w:rStyle w:val="FootnoteReference"/>
          <w:rFonts w:ascii="Garamond" w:hAnsi="Garamond"/>
          <w:color w:val="000000" w:themeColor="text1"/>
        </w:rPr>
        <w:footnoteReference w:id="46"/>
      </w:r>
      <w:r w:rsidRPr="001B1C7A">
        <w:rPr>
          <w:rFonts w:ascii="Garamond" w:hAnsi="Garamond"/>
          <w:color w:val="000000" w:themeColor="text1"/>
        </w:rPr>
        <w:t xml:space="preserve"> Class “A” mandates were fairly developed, almost ready for independence and only needed a helping hand; Class “B” were administrated by the Mandatory power; and Class “C” would become a virtual part of the Mandatory Power’s territory.</w:t>
      </w:r>
      <w:r>
        <w:rPr>
          <w:rStyle w:val="FootnoteReference"/>
          <w:rFonts w:ascii="Garamond" w:hAnsi="Garamond"/>
          <w:color w:val="000000" w:themeColor="text1"/>
        </w:rPr>
        <w:footnoteReference w:id="47"/>
      </w:r>
      <w:r w:rsidRPr="001B1C7A">
        <w:rPr>
          <w:rFonts w:ascii="Garamond" w:hAnsi="Garamond"/>
          <w:color w:val="000000" w:themeColor="text1"/>
        </w:rPr>
        <w:t xml:space="preserve"> </w:t>
      </w:r>
      <w:r w:rsidR="00B73D27">
        <w:rPr>
          <w:rFonts w:ascii="Garamond" w:hAnsi="Garamond"/>
          <w:color w:val="000000" w:themeColor="text1"/>
        </w:rPr>
        <w:t xml:space="preserve">Imperialist perceptions informed the classification of mandates. </w:t>
      </w:r>
      <w:r w:rsidRPr="001B1C7A">
        <w:rPr>
          <w:rFonts w:ascii="Garamond" w:hAnsi="Garamond"/>
          <w:color w:val="000000" w:themeColor="text1"/>
        </w:rPr>
        <w:t>At the Peace Conference, occupied Ottoman territories received a class A designation. In other words, the territories of Mesopotamia, Syria and Palestine had “reached a stage of development where their existence as independent nations can be provisionally recognized subject to the rendering of administrative advice and assistance by a Mandatory until such time as they are able to stand alone</w:t>
      </w:r>
      <w:r w:rsidR="00C137FB">
        <w:rPr>
          <w:rFonts w:ascii="Garamond" w:hAnsi="Garamond"/>
          <w:color w:val="000000" w:themeColor="text1"/>
        </w:rPr>
        <w:t>.</w:t>
      </w:r>
      <w:r w:rsidRPr="001B1C7A">
        <w:rPr>
          <w:rFonts w:ascii="Garamond" w:hAnsi="Garamond"/>
          <w:color w:val="000000" w:themeColor="text1"/>
        </w:rPr>
        <w:t>”</w:t>
      </w:r>
      <w:r w:rsidR="00C137FB">
        <w:rPr>
          <w:rStyle w:val="FootnoteReference"/>
          <w:rFonts w:ascii="Garamond" w:hAnsi="Garamond"/>
          <w:color w:val="000000" w:themeColor="text1"/>
        </w:rPr>
        <w:footnoteReference w:id="48"/>
      </w:r>
      <w:r w:rsidRPr="001B1C7A">
        <w:rPr>
          <w:rFonts w:ascii="Garamond" w:hAnsi="Garamond"/>
          <w:color w:val="000000" w:themeColor="text1"/>
        </w:rPr>
        <w:t xml:space="preserve"> The class A mandate also obliged the Mandatory Power to consider the population’s wishes</w:t>
      </w:r>
      <w:r w:rsidR="00C137FB">
        <w:rPr>
          <w:rFonts w:ascii="Garamond" w:hAnsi="Garamond"/>
          <w:color w:val="000000" w:themeColor="text1"/>
        </w:rPr>
        <w:t>. E</w:t>
      </w:r>
      <w:r w:rsidRPr="001B1C7A">
        <w:rPr>
          <w:rFonts w:ascii="Garamond" w:hAnsi="Garamond"/>
          <w:color w:val="000000" w:themeColor="text1"/>
        </w:rPr>
        <w:t xml:space="preserve">nter the King – Crane Commission. </w:t>
      </w:r>
    </w:p>
    <w:p w14:paraId="5873B2EB" w14:textId="0CA86F3D" w:rsidR="0030323A" w:rsidRDefault="0030323A" w:rsidP="0030323A">
      <w:pPr>
        <w:pStyle w:val="Heading2"/>
        <w:numPr>
          <w:ilvl w:val="0"/>
          <w:numId w:val="32"/>
        </w:numPr>
        <w:rPr>
          <w:rFonts w:ascii="Garamond" w:hAnsi="Garamond"/>
          <w:color w:val="000000" w:themeColor="text1"/>
        </w:rPr>
      </w:pPr>
      <w:bookmarkStart w:id="9" w:name="_Toc66731778"/>
      <w:r w:rsidRPr="00E92768">
        <w:rPr>
          <w:rFonts w:ascii="Garamond" w:hAnsi="Garamond"/>
          <w:color w:val="000000" w:themeColor="text1"/>
        </w:rPr>
        <w:t xml:space="preserve">The Composition of the </w:t>
      </w:r>
      <w:r w:rsidR="00C6532D">
        <w:rPr>
          <w:rFonts w:ascii="Garamond" w:hAnsi="Garamond"/>
          <w:color w:val="000000" w:themeColor="text1"/>
        </w:rPr>
        <w:t>K.C.C.</w:t>
      </w:r>
      <w:bookmarkEnd w:id="9"/>
      <w:r w:rsidRPr="00E92768">
        <w:rPr>
          <w:rFonts w:ascii="Garamond" w:hAnsi="Garamond"/>
          <w:color w:val="000000" w:themeColor="text1"/>
        </w:rPr>
        <w:t xml:space="preserve"> </w:t>
      </w:r>
    </w:p>
    <w:p w14:paraId="69A3BBA8" w14:textId="77777777" w:rsidR="0030323A" w:rsidRPr="00E92768" w:rsidRDefault="0030323A" w:rsidP="0030323A"/>
    <w:p w14:paraId="49631783" w14:textId="53DB0313"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On March 20, 1919 the powers of France, England, the U.S. and Italy met in Paris concerning the Ottoman Empire. After initial discussion between the British and French, concerning how Sykes – Picot (with the Long – Bérenger </w:t>
      </w:r>
      <w:r w:rsidR="00CA352F">
        <w:rPr>
          <w:rFonts w:ascii="Garamond" w:hAnsi="Garamond"/>
          <w:color w:val="000000" w:themeColor="text1"/>
        </w:rPr>
        <w:t xml:space="preserve">agreement </w:t>
      </w:r>
      <w:r w:rsidRPr="001B1C7A">
        <w:rPr>
          <w:rFonts w:ascii="Garamond" w:hAnsi="Garamond"/>
          <w:color w:val="000000" w:themeColor="text1"/>
        </w:rPr>
        <w:t xml:space="preserve">in consideration) would manifest through the mandate system, Wilson mounted a defense of self – determination and, referencing the </w:t>
      </w:r>
      <w:r w:rsidRPr="001B1C7A">
        <w:rPr>
          <w:rFonts w:ascii="Garamond" w:hAnsi="Garamond"/>
          <w:i/>
          <w:iCs/>
          <w:color w:val="000000" w:themeColor="text1"/>
        </w:rPr>
        <w:t>Resolution on Mandates</w:t>
      </w:r>
      <w:r w:rsidRPr="001B1C7A">
        <w:rPr>
          <w:rFonts w:ascii="Garamond" w:hAnsi="Garamond"/>
          <w:color w:val="000000" w:themeColor="text1"/>
        </w:rPr>
        <w:t>, reminded Britain and France that they needed to account for “the desires of the people over whom the mandate was to be exercised</w:t>
      </w:r>
      <w:r>
        <w:rPr>
          <w:rFonts w:ascii="Garamond" w:hAnsi="Garamond"/>
          <w:color w:val="000000" w:themeColor="text1"/>
        </w:rPr>
        <w:t>.</w:t>
      </w:r>
      <w:r w:rsidRPr="001B1C7A">
        <w:rPr>
          <w:rFonts w:ascii="Garamond" w:hAnsi="Garamond"/>
          <w:color w:val="000000" w:themeColor="text1"/>
        </w:rPr>
        <w:t>”</w:t>
      </w:r>
      <w:r w:rsidRPr="001B1C7A">
        <w:rPr>
          <w:rStyle w:val="FootnoteReference"/>
          <w:rFonts w:ascii="Garamond" w:hAnsi="Garamond"/>
          <w:color w:val="000000" w:themeColor="text1"/>
        </w:rPr>
        <w:footnoteReference w:id="49"/>
      </w:r>
      <w:r>
        <w:rPr>
          <w:rFonts w:ascii="Garamond" w:hAnsi="Garamond"/>
          <w:color w:val="000000" w:themeColor="text1"/>
        </w:rPr>
        <w:t xml:space="preserve"> </w:t>
      </w:r>
      <w:r w:rsidRPr="001B1C7A">
        <w:rPr>
          <w:rFonts w:ascii="Garamond" w:hAnsi="Garamond"/>
          <w:color w:val="000000" w:themeColor="text1"/>
        </w:rPr>
        <w:t>To accomplish this, Wilson proposed a commission, reluctantly welcomed by Britain and France. By March 22, 1919, Wilson had written a draft document proposing his ideas.</w:t>
      </w:r>
      <w:r w:rsidR="0043571C">
        <w:rPr>
          <w:rFonts w:ascii="Garamond" w:hAnsi="Garamond"/>
          <w:color w:val="000000" w:themeColor="text1"/>
        </w:rPr>
        <w:t xml:space="preserve"> O</w:t>
      </w:r>
      <w:r w:rsidRPr="001B1C7A">
        <w:rPr>
          <w:rFonts w:ascii="Garamond" w:hAnsi="Garamond"/>
          <w:color w:val="000000" w:themeColor="text1"/>
        </w:rPr>
        <w:t>n March 23, 1919, Wilson began assembling a team.</w:t>
      </w:r>
      <w:r>
        <w:rPr>
          <w:rStyle w:val="FootnoteReference"/>
          <w:rFonts w:ascii="Garamond" w:hAnsi="Garamond"/>
          <w:color w:val="000000" w:themeColor="text1"/>
        </w:rPr>
        <w:footnoteReference w:id="50"/>
      </w:r>
    </w:p>
    <w:p w14:paraId="7989E39D" w14:textId="1527DB03"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By March 26, Colonel Edward House, Wilson’s advis</w:t>
      </w:r>
      <w:r w:rsidR="00891D54">
        <w:rPr>
          <w:rFonts w:ascii="Garamond" w:hAnsi="Garamond"/>
          <w:color w:val="000000" w:themeColor="text1"/>
        </w:rPr>
        <w:t>o</w:t>
      </w:r>
      <w:r w:rsidRPr="001B1C7A">
        <w:rPr>
          <w:rFonts w:ascii="Garamond" w:hAnsi="Garamond"/>
          <w:color w:val="000000" w:themeColor="text1"/>
        </w:rPr>
        <w:t xml:space="preserve">r, had named Henry Churchill King as the first Commissioner. The president of Oberlin College, King was doing missionary work in France </w:t>
      </w:r>
      <w:r w:rsidRPr="001B1C7A">
        <w:rPr>
          <w:rFonts w:ascii="Garamond" w:hAnsi="Garamond"/>
          <w:color w:val="000000" w:themeColor="text1"/>
        </w:rPr>
        <w:lastRenderedPageBreak/>
        <w:t>for the Young Men’s Christian Association</w:t>
      </w:r>
      <w:r w:rsidR="00891D54">
        <w:rPr>
          <w:rFonts w:ascii="Garamond" w:hAnsi="Garamond"/>
          <w:color w:val="000000" w:themeColor="text1"/>
        </w:rPr>
        <w:t xml:space="preserve">. </w:t>
      </w:r>
      <w:r w:rsidRPr="001B1C7A">
        <w:rPr>
          <w:rFonts w:ascii="Garamond" w:hAnsi="Garamond"/>
          <w:color w:val="000000" w:themeColor="text1"/>
        </w:rPr>
        <w:t xml:space="preserve">A progressive protestant, King </w:t>
      </w:r>
      <w:r w:rsidR="00891D54">
        <w:rPr>
          <w:rFonts w:ascii="Garamond" w:hAnsi="Garamond"/>
          <w:color w:val="000000" w:themeColor="text1"/>
        </w:rPr>
        <w:t>believed</w:t>
      </w:r>
      <w:r w:rsidRPr="001B1C7A">
        <w:rPr>
          <w:rFonts w:ascii="Garamond" w:hAnsi="Garamond"/>
          <w:color w:val="000000" w:themeColor="text1"/>
        </w:rPr>
        <w:t xml:space="preserve"> in Wilson’s quest, rooted in Christian ideals, to craft a more peaceful world order.</w:t>
      </w:r>
      <w:r>
        <w:rPr>
          <w:rStyle w:val="FootnoteReference"/>
          <w:rFonts w:ascii="Garamond" w:hAnsi="Garamond"/>
          <w:color w:val="000000" w:themeColor="text1"/>
        </w:rPr>
        <w:footnoteReference w:id="51"/>
      </w:r>
      <w:r w:rsidRPr="001B1C7A">
        <w:rPr>
          <w:rFonts w:ascii="Garamond" w:hAnsi="Garamond"/>
          <w:color w:val="000000" w:themeColor="text1"/>
        </w:rPr>
        <w:t xml:space="preserve"> The same day, House told King that Wilson had selected Charles Crane as his complement. Crane was a peripatetic aristocrat, </w:t>
      </w:r>
      <w:r w:rsidR="00E97087">
        <w:rPr>
          <w:rFonts w:ascii="Garamond" w:hAnsi="Garamond"/>
          <w:color w:val="000000" w:themeColor="text1"/>
        </w:rPr>
        <w:t xml:space="preserve">the </w:t>
      </w:r>
      <w:r w:rsidRPr="001B1C7A">
        <w:rPr>
          <w:rFonts w:ascii="Garamond" w:hAnsi="Garamond"/>
          <w:color w:val="000000" w:themeColor="text1"/>
        </w:rPr>
        <w:t xml:space="preserve">beneficiary of a Chicago piping empire and </w:t>
      </w:r>
      <w:r w:rsidR="00E97087">
        <w:rPr>
          <w:rFonts w:ascii="Garamond" w:hAnsi="Garamond"/>
          <w:color w:val="000000" w:themeColor="text1"/>
        </w:rPr>
        <w:t xml:space="preserve">a </w:t>
      </w:r>
      <w:r w:rsidRPr="001B1C7A">
        <w:rPr>
          <w:rFonts w:ascii="Garamond" w:hAnsi="Garamond"/>
          <w:color w:val="000000" w:themeColor="text1"/>
        </w:rPr>
        <w:t>benefactor of Wilson’s campaigns.</w:t>
      </w:r>
      <w:r w:rsidR="00891D54">
        <w:rPr>
          <w:rFonts w:ascii="Garamond" w:hAnsi="Garamond"/>
          <w:color w:val="000000" w:themeColor="text1"/>
        </w:rPr>
        <w:t xml:space="preserve"> A</w:t>
      </w:r>
      <w:r w:rsidRPr="001B1C7A">
        <w:rPr>
          <w:rFonts w:ascii="Garamond" w:hAnsi="Garamond"/>
          <w:color w:val="000000" w:themeColor="text1"/>
        </w:rPr>
        <w:t xml:space="preserve"> dilettante, Crane had traveled throughout the Cauc</w:t>
      </w:r>
      <w:r w:rsidR="0043571C">
        <w:rPr>
          <w:rFonts w:ascii="Garamond" w:hAnsi="Garamond"/>
          <w:color w:val="000000" w:themeColor="text1"/>
        </w:rPr>
        <w:t>asu</w:t>
      </w:r>
      <w:r w:rsidRPr="001B1C7A">
        <w:rPr>
          <w:rFonts w:ascii="Garamond" w:hAnsi="Garamond"/>
          <w:color w:val="000000" w:themeColor="text1"/>
        </w:rPr>
        <w:t>s, China, Indonesia</w:t>
      </w:r>
      <w:r w:rsidR="00CA352F">
        <w:rPr>
          <w:rFonts w:ascii="Garamond" w:hAnsi="Garamond"/>
          <w:color w:val="000000" w:themeColor="text1"/>
        </w:rPr>
        <w:t xml:space="preserve">, </w:t>
      </w:r>
      <w:r w:rsidRPr="001B1C7A">
        <w:rPr>
          <w:rFonts w:ascii="Garamond" w:hAnsi="Garamond"/>
          <w:color w:val="000000" w:themeColor="text1"/>
        </w:rPr>
        <w:t>Europe</w:t>
      </w:r>
      <w:r w:rsidR="00CA352F">
        <w:rPr>
          <w:rFonts w:ascii="Garamond" w:hAnsi="Garamond"/>
          <w:color w:val="000000" w:themeColor="text1"/>
        </w:rPr>
        <w:t xml:space="preserve"> and the Soviet Union, </w:t>
      </w:r>
      <w:r w:rsidRPr="001B1C7A">
        <w:rPr>
          <w:rFonts w:ascii="Garamond" w:hAnsi="Garamond"/>
          <w:color w:val="000000" w:themeColor="text1"/>
        </w:rPr>
        <w:t>in 1917, on Wilson’s behalf</w:t>
      </w:r>
      <w:r>
        <w:rPr>
          <w:rFonts w:ascii="Garamond" w:hAnsi="Garamond"/>
          <w:color w:val="000000" w:themeColor="text1"/>
        </w:rPr>
        <w:t xml:space="preserve">. </w:t>
      </w:r>
      <w:r w:rsidRPr="001B1C7A">
        <w:rPr>
          <w:rFonts w:ascii="Garamond" w:hAnsi="Garamond"/>
          <w:color w:val="000000" w:themeColor="text1"/>
        </w:rPr>
        <w:t>Crane had also previously worked on oil pipelines in the Cauc</w:t>
      </w:r>
      <w:r w:rsidR="0043571C">
        <w:rPr>
          <w:rFonts w:ascii="Garamond" w:hAnsi="Garamond"/>
          <w:color w:val="000000" w:themeColor="text1"/>
        </w:rPr>
        <w:t>asu</w:t>
      </w:r>
      <w:r w:rsidRPr="001B1C7A">
        <w:rPr>
          <w:rFonts w:ascii="Garamond" w:hAnsi="Garamond"/>
          <w:color w:val="000000" w:themeColor="text1"/>
        </w:rPr>
        <w:t>s and interacted with oil interests his entire life</w:t>
      </w:r>
      <w:r>
        <w:rPr>
          <w:rFonts w:ascii="Garamond" w:hAnsi="Garamond"/>
          <w:color w:val="000000" w:themeColor="text1"/>
        </w:rPr>
        <w:t>.</w:t>
      </w:r>
      <w:r>
        <w:rPr>
          <w:rStyle w:val="FootnoteReference"/>
          <w:rFonts w:ascii="Garamond" w:hAnsi="Garamond"/>
          <w:color w:val="000000" w:themeColor="text1"/>
        </w:rPr>
        <w:footnoteReference w:id="52"/>
      </w:r>
      <w:r w:rsidRPr="001B1C7A">
        <w:rPr>
          <w:rFonts w:ascii="Garamond" w:hAnsi="Garamond"/>
          <w:color w:val="000000" w:themeColor="text1"/>
        </w:rPr>
        <w:t xml:space="preserve"> </w:t>
      </w:r>
      <w:r w:rsidR="00891D54">
        <w:rPr>
          <w:rFonts w:ascii="Garamond" w:hAnsi="Garamond"/>
          <w:color w:val="000000" w:themeColor="text1"/>
        </w:rPr>
        <w:t xml:space="preserve">He became ambassador to China after the Commission. </w:t>
      </w:r>
    </w:p>
    <w:p w14:paraId="78D7EC25" w14:textId="515547CB" w:rsidR="0030323A" w:rsidRPr="001B1C7A" w:rsidRDefault="0030323A" w:rsidP="00DD62B9">
      <w:pPr>
        <w:spacing w:line="480" w:lineRule="auto"/>
        <w:ind w:firstLine="360"/>
        <w:rPr>
          <w:rFonts w:ascii="Garamond" w:hAnsi="Garamond"/>
          <w:color w:val="000000" w:themeColor="text1"/>
        </w:rPr>
      </w:pPr>
      <w:r w:rsidRPr="001B1C7A">
        <w:rPr>
          <w:rFonts w:ascii="Garamond" w:hAnsi="Garamond"/>
          <w:color w:val="000000" w:themeColor="text1"/>
        </w:rPr>
        <w:t>King selected Alfred Lybyer as his advisor, a former Oberlin professor and Ottoman historian, who was working on Balkan issues at the Peace Conference.</w:t>
      </w:r>
      <w:r>
        <w:rPr>
          <w:rStyle w:val="FootnoteReference"/>
          <w:rFonts w:ascii="Garamond" w:hAnsi="Garamond"/>
          <w:color w:val="000000" w:themeColor="text1"/>
        </w:rPr>
        <w:footnoteReference w:id="53"/>
      </w:r>
      <w:r w:rsidRPr="001B1C7A">
        <w:rPr>
          <w:rFonts w:ascii="Garamond" w:hAnsi="Garamond"/>
          <w:color w:val="000000" w:themeColor="text1"/>
        </w:rPr>
        <w:t xml:space="preserve"> Lybyer then attempted to recruit William Westermann, an advisor to Wilson on Turkish affairs, but Westermann relented. On the recommendation of Westermann, however, Lybyer welcomed George Montgomery and William Yale onto the commission.</w:t>
      </w:r>
      <w:r>
        <w:rPr>
          <w:rStyle w:val="FootnoteReference"/>
          <w:rFonts w:ascii="Garamond" w:hAnsi="Garamond"/>
          <w:color w:val="000000" w:themeColor="text1"/>
        </w:rPr>
        <w:footnoteReference w:id="54"/>
      </w:r>
      <w:r w:rsidRPr="001B1C7A">
        <w:rPr>
          <w:rFonts w:ascii="Garamond" w:hAnsi="Garamond"/>
          <w:color w:val="000000" w:themeColor="text1"/>
        </w:rPr>
        <w:t xml:space="preserve"> Montgomery was born to missionaries in Turkey and eventually worked for the U.S. embassy in Constantinople. Yale, related to Elihu Yale, founder of Yale University, was a former Standard Oil Company of New York (SOCONY) Engineer who worked for U.S. intelligence during the 1917 campaigns in the Middle East.</w:t>
      </w:r>
      <w:r>
        <w:rPr>
          <w:rStyle w:val="FootnoteReference"/>
          <w:rFonts w:ascii="Garamond" w:hAnsi="Garamond"/>
          <w:color w:val="000000" w:themeColor="text1"/>
        </w:rPr>
        <w:footnoteReference w:id="55"/>
      </w:r>
      <w:r w:rsidRPr="001B1C7A">
        <w:rPr>
          <w:rFonts w:ascii="Garamond" w:hAnsi="Garamond"/>
          <w:color w:val="000000" w:themeColor="text1"/>
        </w:rPr>
        <w:t xml:space="preserve"> Yale had traveled extensively throughout the Levant, often in service of SOCONY, and maintained an extensive network of oil-related contacts; </w:t>
      </w:r>
      <w:r w:rsidR="005D7E21">
        <w:rPr>
          <w:rFonts w:ascii="Garamond" w:hAnsi="Garamond"/>
          <w:color w:val="000000" w:themeColor="text1"/>
        </w:rPr>
        <w:t xml:space="preserve">Crane and Yale entered the Levant with the most knowledge of oil out of all the Commissioners. </w:t>
      </w:r>
      <w:r w:rsidRPr="001B1C7A">
        <w:rPr>
          <w:rFonts w:ascii="Garamond" w:hAnsi="Garamond"/>
          <w:color w:val="000000" w:themeColor="text1"/>
        </w:rPr>
        <w:t>The British and French were supposed to contribute members to the K</w:t>
      </w:r>
      <w:r w:rsidR="005D7E21">
        <w:rPr>
          <w:rFonts w:ascii="Garamond" w:hAnsi="Garamond"/>
          <w:color w:val="000000" w:themeColor="text1"/>
        </w:rPr>
        <w:t>.</w:t>
      </w:r>
      <w:r w:rsidRPr="001B1C7A">
        <w:rPr>
          <w:rFonts w:ascii="Garamond" w:hAnsi="Garamond"/>
          <w:color w:val="000000" w:themeColor="text1"/>
        </w:rPr>
        <w:t>C</w:t>
      </w:r>
      <w:r w:rsidR="005D7E21">
        <w:rPr>
          <w:rFonts w:ascii="Garamond" w:hAnsi="Garamond"/>
          <w:color w:val="000000" w:themeColor="text1"/>
        </w:rPr>
        <w:t>.</w:t>
      </w:r>
      <w:r w:rsidRPr="001B1C7A">
        <w:rPr>
          <w:rFonts w:ascii="Garamond" w:hAnsi="Garamond"/>
          <w:color w:val="000000" w:themeColor="text1"/>
        </w:rPr>
        <w:t>C</w:t>
      </w:r>
      <w:r w:rsidR="005D7E21">
        <w:rPr>
          <w:rFonts w:ascii="Garamond" w:hAnsi="Garamond"/>
          <w:color w:val="000000" w:themeColor="text1"/>
        </w:rPr>
        <w:t>.</w:t>
      </w:r>
      <w:r w:rsidRPr="001B1C7A">
        <w:rPr>
          <w:rFonts w:ascii="Garamond" w:hAnsi="Garamond"/>
          <w:color w:val="000000" w:themeColor="text1"/>
        </w:rPr>
        <w:t>, but deliberate indolence led Wilson to send a group composed solely of Americans.</w:t>
      </w:r>
      <w:r w:rsidR="005D7E21">
        <w:rPr>
          <w:rStyle w:val="FootnoteReference"/>
          <w:rFonts w:ascii="Garamond" w:hAnsi="Garamond"/>
          <w:color w:val="000000" w:themeColor="text1"/>
        </w:rPr>
        <w:footnoteReference w:id="56"/>
      </w:r>
      <w:r w:rsidRPr="001B1C7A">
        <w:rPr>
          <w:rFonts w:ascii="Garamond" w:hAnsi="Garamond"/>
          <w:color w:val="000000" w:themeColor="text1"/>
        </w:rPr>
        <w:t xml:space="preserve"> </w:t>
      </w:r>
    </w:p>
    <w:p w14:paraId="0E8B3F2E" w14:textId="77777777" w:rsidR="0030323A" w:rsidRDefault="0030323A" w:rsidP="0030323A">
      <w:pPr>
        <w:pStyle w:val="Heading2"/>
        <w:numPr>
          <w:ilvl w:val="0"/>
          <w:numId w:val="32"/>
        </w:numPr>
        <w:rPr>
          <w:rFonts w:ascii="Garamond" w:hAnsi="Garamond"/>
          <w:color w:val="000000" w:themeColor="text1"/>
        </w:rPr>
      </w:pPr>
      <w:bookmarkStart w:id="10" w:name="_Toc66731779"/>
      <w:r w:rsidRPr="00E92768">
        <w:rPr>
          <w:rFonts w:ascii="Garamond" w:hAnsi="Garamond"/>
          <w:color w:val="000000" w:themeColor="text1"/>
        </w:rPr>
        <w:t>The Activities of the King Crane Commission</w:t>
      </w:r>
      <w:bookmarkEnd w:id="10"/>
      <w:r w:rsidRPr="00E92768">
        <w:rPr>
          <w:rFonts w:ascii="Garamond" w:hAnsi="Garamond"/>
          <w:color w:val="000000" w:themeColor="text1"/>
        </w:rPr>
        <w:t xml:space="preserve"> </w:t>
      </w:r>
    </w:p>
    <w:p w14:paraId="0F038561" w14:textId="77777777" w:rsidR="0030323A" w:rsidRPr="00E92768" w:rsidRDefault="0030323A" w:rsidP="0030323A"/>
    <w:p w14:paraId="1520A086" w14:textId="59116377"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lastRenderedPageBreak/>
        <w:t xml:space="preserve">The </w:t>
      </w:r>
      <w:r w:rsidR="004A617B">
        <w:rPr>
          <w:rFonts w:ascii="Garamond" w:hAnsi="Garamond"/>
          <w:color w:val="000000" w:themeColor="text1"/>
        </w:rPr>
        <w:t>five</w:t>
      </w:r>
      <w:r w:rsidRPr="001B1C7A">
        <w:rPr>
          <w:rFonts w:ascii="Garamond" w:hAnsi="Garamond"/>
          <w:color w:val="000000" w:themeColor="text1"/>
        </w:rPr>
        <w:t xml:space="preserve"> experts on the </w:t>
      </w:r>
      <w:r w:rsidR="00C6532D">
        <w:rPr>
          <w:rFonts w:ascii="Garamond" w:hAnsi="Garamond"/>
          <w:color w:val="000000" w:themeColor="text1"/>
        </w:rPr>
        <w:t>K.C.C.</w:t>
      </w:r>
      <w:r w:rsidRPr="001B1C7A">
        <w:rPr>
          <w:rFonts w:ascii="Garamond" w:hAnsi="Garamond"/>
          <w:color w:val="000000" w:themeColor="text1"/>
        </w:rPr>
        <w:t xml:space="preserve">, along with a staff of translators and a secretary, embarked from Paris in late May 1919 and arrived </w:t>
      </w:r>
      <w:r w:rsidR="00DD62B9">
        <w:rPr>
          <w:rFonts w:ascii="Garamond" w:hAnsi="Garamond"/>
          <w:color w:val="000000" w:themeColor="text1"/>
        </w:rPr>
        <w:t>at</w:t>
      </w:r>
      <w:r w:rsidR="00AE63EA" w:rsidRPr="001B1C7A">
        <w:rPr>
          <w:rFonts w:ascii="Garamond" w:hAnsi="Garamond"/>
          <w:color w:val="000000" w:themeColor="text1"/>
        </w:rPr>
        <w:t xml:space="preserve"> </w:t>
      </w:r>
      <w:r w:rsidRPr="001B1C7A">
        <w:rPr>
          <w:rFonts w:ascii="Garamond" w:hAnsi="Garamond"/>
          <w:color w:val="000000" w:themeColor="text1"/>
        </w:rPr>
        <w:t xml:space="preserve">Jaffa on June 10. In 42 days, the </w:t>
      </w:r>
      <w:r w:rsidR="00C6532D">
        <w:rPr>
          <w:rFonts w:ascii="Garamond" w:hAnsi="Garamond"/>
          <w:color w:val="000000" w:themeColor="text1"/>
        </w:rPr>
        <w:t>K.C.C.</w:t>
      </w:r>
      <w:r w:rsidRPr="001B1C7A">
        <w:rPr>
          <w:rFonts w:ascii="Garamond" w:hAnsi="Garamond"/>
          <w:color w:val="000000" w:themeColor="text1"/>
        </w:rPr>
        <w:t xml:space="preserve"> visited 32 areas, where they hosted town hall – style meetings and received petitions from residents. The </w:t>
      </w:r>
      <w:r w:rsidR="00C6532D">
        <w:rPr>
          <w:rFonts w:ascii="Garamond" w:hAnsi="Garamond"/>
          <w:color w:val="000000" w:themeColor="text1"/>
        </w:rPr>
        <w:t>K.C.C.</w:t>
      </w:r>
      <w:r w:rsidRPr="001B1C7A">
        <w:rPr>
          <w:rFonts w:ascii="Garamond" w:hAnsi="Garamond"/>
          <w:color w:val="000000" w:themeColor="text1"/>
        </w:rPr>
        <w:t xml:space="preserve"> met with 442 delegations of Muslim Arabs, Christian Arabs, Maronites, Zionists, Bedouins and Greek Orthodox Christians, receiving 1893 petitions.</w:t>
      </w:r>
      <w:r w:rsidR="00970917">
        <w:rPr>
          <w:rStyle w:val="FootnoteReference"/>
          <w:rFonts w:ascii="Garamond" w:hAnsi="Garamond"/>
          <w:color w:val="000000" w:themeColor="text1"/>
        </w:rPr>
        <w:footnoteReference w:id="57"/>
      </w:r>
      <w:r w:rsidRPr="001B1C7A">
        <w:rPr>
          <w:rFonts w:ascii="Garamond" w:hAnsi="Garamond"/>
          <w:color w:val="000000" w:themeColor="text1"/>
        </w:rPr>
        <w:t xml:space="preserve"> They also managed to enjoy themselves, often on Europea</w:t>
      </w:r>
      <w:r w:rsidR="001D5245">
        <w:rPr>
          <w:rFonts w:ascii="Garamond" w:hAnsi="Garamond"/>
          <w:color w:val="000000" w:themeColor="text1"/>
        </w:rPr>
        <w:t>n coin.</w:t>
      </w:r>
      <w:r w:rsidRPr="001B1C7A">
        <w:rPr>
          <w:rFonts w:ascii="Garamond" w:hAnsi="Garamond"/>
          <w:color w:val="000000" w:themeColor="text1"/>
        </w:rPr>
        <w:t xml:space="preserve"> The </w:t>
      </w:r>
      <w:r w:rsidR="00C6532D">
        <w:rPr>
          <w:rFonts w:ascii="Garamond" w:hAnsi="Garamond"/>
          <w:color w:val="000000" w:themeColor="text1"/>
        </w:rPr>
        <w:t>K.C.C.</w:t>
      </w:r>
      <w:r w:rsidRPr="001B1C7A">
        <w:rPr>
          <w:rFonts w:ascii="Garamond" w:hAnsi="Garamond"/>
          <w:color w:val="000000" w:themeColor="text1"/>
        </w:rPr>
        <w:t xml:space="preserve"> partied on General Allenby’s yacht, lunched with François Picot, who had devoted so much energy to excluding the Americans from Middle Eastern oil, and pontificated with many high level British and French colonial officials. In the meantime, the </w:t>
      </w:r>
      <w:r w:rsidR="00C6532D">
        <w:rPr>
          <w:rFonts w:ascii="Garamond" w:hAnsi="Garamond"/>
          <w:color w:val="000000" w:themeColor="text1"/>
        </w:rPr>
        <w:t>K.C.C.</w:t>
      </w:r>
      <w:r w:rsidRPr="001B1C7A">
        <w:rPr>
          <w:rFonts w:ascii="Garamond" w:hAnsi="Garamond"/>
          <w:color w:val="000000" w:themeColor="text1"/>
        </w:rPr>
        <w:t xml:space="preserve"> met with Standard Oil representatives and wrote detailed memoranda concerning oil. </w:t>
      </w:r>
    </w:p>
    <w:p w14:paraId="1FBAF6B2" w14:textId="4E7D7026"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Their final report found </w:t>
      </w:r>
      <w:r w:rsidR="0043571C">
        <w:rPr>
          <w:rFonts w:ascii="Garamond" w:hAnsi="Garamond"/>
          <w:color w:val="000000" w:themeColor="text1"/>
        </w:rPr>
        <w:t>that Syrians did not approve of</w:t>
      </w:r>
      <w:r w:rsidRPr="001B1C7A">
        <w:rPr>
          <w:rFonts w:ascii="Garamond" w:hAnsi="Garamond"/>
          <w:color w:val="000000" w:themeColor="text1"/>
        </w:rPr>
        <w:t xml:space="preserve"> Zionism and support</w:t>
      </w:r>
      <w:r w:rsidR="0043571C">
        <w:rPr>
          <w:rFonts w:ascii="Garamond" w:hAnsi="Garamond"/>
          <w:color w:val="000000" w:themeColor="text1"/>
        </w:rPr>
        <w:t>ed</w:t>
      </w:r>
      <w:r w:rsidRPr="001B1C7A">
        <w:rPr>
          <w:rFonts w:ascii="Garamond" w:hAnsi="Garamond"/>
          <w:color w:val="000000" w:themeColor="text1"/>
        </w:rPr>
        <w:t xml:space="preserve"> independence</w:t>
      </w:r>
      <w:r w:rsidR="0043571C">
        <w:rPr>
          <w:rFonts w:ascii="Garamond" w:hAnsi="Garamond"/>
          <w:color w:val="000000" w:themeColor="text1"/>
        </w:rPr>
        <w:t>.</w:t>
      </w:r>
      <w:r w:rsidRPr="001B1C7A">
        <w:rPr>
          <w:rFonts w:ascii="Garamond" w:hAnsi="Garamond"/>
          <w:color w:val="000000" w:themeColor="text1"/>
        </w:rPr>
        <w:t xml:space="preserve"> </w:t>
      </w:r>
      <w:r w:rsidR="0043571C">
        <w:rPr>
          <w:rFonts w:ascii="Garamond" w:hAnsi="Garamond"/>
          <w:color w:val="000000" w:themeColor="text1"/>
        </w:rPr>
        <w:t>However, policymakers suppressed these findings in favor of European relationships, as the British had promised Zionists a homeland and wanted in on oil</w:t>
      </w:r>
      <w:r w:rsidR="00970917">
        <w:rPr>
          <w:rFonts w:ascii="Garamond" w:hAnsi="Garamond"/>
          <w:color w:val="000000" w:themeColor="text1"/>
        </w:rPr>
        <w:t>, which they had access to under the modified Sykes – Picot and T.P.C</w:t>
      </w:r>
      <w:r w:rsidRPr="001B1C7A">
        <w:rPr>
          <w:rFonts w:ascii="Garamond" w:hAnsi="Garamond"/>
          <w:color w:val="000000" w:themeColor="text1"/>
        </w:rPr>
        <w:t xml:space="preserve">. Due to divergence within the group, Yale also </w:t>
      </w:r>
      <w:r w:rsidR="00970917">
        <w:rPr>
          <w:rFonts w:ascii="Garamond" w:hAnsi="Garamond"/>
          <w:color w:val="000000" w:themeColor="text1"/>
        </w:rPr>
        <w:t xml:space="preserve">supposedly </w:t>
      </w:r>
      <w:r w:rsidRPr="001B1C7A">
        <w:rPr>
          <w:rFonts w:ascii="Garamond" w:hAnsi="Garamond"/>
          <w:color w:val="000000" w:themeColor="text1"/>
        </w:rPr>
        <w:t>wrote a Minority Report, which was largely ignored.</w:t>
      </w:r>
      <w:r>
        <w:rPr>
          <w:rStyle w:val="FootnoteReference"/>
          <w:rFonts w:ascii="Garamond" w:hAnsi="Garamond"/>
          <w:color w:val="000000" w:themeColor="text1"/>
        </w:rPr>
        <w:footnoteReference w:id="58"/>
      </w:r>
      <w:r w:rsidRPr="001B1C7A">
        <w:rPr>
          <w:rFonts w:ascii="Garamond" w:hAnsi="Garamond"/>
          <w:color w:val="000000" w:themeColor="text1"/>
        </w:rPr>
        <w:t xml:space="preserve"> The </w:t>
      </w:r>
      <w:r w:rsidR="00C6532D">
        <w:rPr>
          <w:rFonts w:ascii="Garamond" w:hAnsi="Garamond"/>
          <w:color w:val="000000" w:themeColor="text1"/>
        </w:rPr>
        <w:t>K.C.C.</w:t>
      </w:r>
      <w:r w:rsidRPr="001B1C7A">
        <w:rPr>
          <w:rFonts w:ascii="Garamond" w:hAnsi="Garamond"/>
          <w:color w:val="000000" w:themeColor="text1"/>
        </w:rPr>
        <w:t xml:space="preserve"> arrived in the </w:t>
      </w:r>
      <w:r w:rsidR="004A617B">
        <w:rPr>
          <w:rFonts w:ascii="Garamond" w:hAnsi="Garamond"/>
          <w:color w:val="000000" w:themeColor="text1"/>
        </w:rPr>
        <w:t>region</w:t>
      </w:r>
      <w:r w:rsidRPr="001B1C7A">
        <w:rPr>
          <w:rFonts w:ascii="Garamond" w:hAnsi="Garamond"/>
          <w:color w:val="000000" w:themeColor="text1"/>
        </w:rPr>
        <w:t xml:space="preserve"> at the height of intra – European competition while the Europeans maintained a tacit understanding that, regardless of competition between each other, they would preclude American entry into the oil market. The </w:t>
      </w:r>
      <w:r w:rsidR="00C6532D">
        <w:rPr>
          <w:rFonts w:ascii="Garamond" w:hAnsi="Garamond"/>
          <w:color w:val="000000" w:themeColor="text1"/>
        </w:rPr>
        <w:t>K.C.C.</w:t>
      </w:r>
      <w:r w:rsidRPr="001B1C7A">
        <w:rPr>
          <w:rFonts w:ascii="Garamond" w:hAnsi="Garamond"/>
          <w:color w:val="000000" w:themeColor="text1"/>
        </w:rPr>
        <w:t xml:space="preserve"> also met with Picot, one of the architects of this exclusion. While policymakers in the U.S. fretted over an exaggerated oil shortage at home, the </w:t>
      </w:r>
      <w:r w:rsidR="00C6532D">
        <w:rPr>
          <w:rFonts w:ascii="Garamond" w:hAnsi="Garamond"/>
          <w:color w:val="000000" w:themeColor="text1"/>
        </w:rPr>
        <w:t>K.C.C.</w:t>
      </w:r>
      <w:r w:rsidRPr="001B1C7A">
        <w:rPr>
          <w:rFonts w:ascii="Garamond" w:hAnsi="Garamond"/>
          <w:color w:val="000000" w:themeColor="text1"/>
        </w:rPr>
        <w:t xml:space="preserve"> held the perfect position to inform the U.S.’s expansion into a new market</w:t>
      </w:r>
      <w:r w:rsidR="00BF6BAA">
        <w:rPr>
          <w:rFonts w:ascii="Garamond" w:hAnsi="Garamond"/>
          <w:color w:val="000000" w:themeColor="text1"/>
        </w:rPr>
        <w:t xml:space="preserve"> to ensure its security interests</w:t>
      </w:r>
      <w:r w:rsidRPr="001B1C7A">
        <w:rPr>
          <w:rFonts w:ascii="Garamond" w:hAnsi="Garamond"/>
          <w:color w:val="000000" w:themeColor="text1"/>
        </w:rPr>
        <w:t xml:space="preserve">: The Middle East. </w:t>
      </w:r>
    </w:p>
    <w:p w14:paraId="6296BF1D" w14:textId="77777777" w:rsidR="0030323A" w:rsidRDefault="0030323A" w:rsidP="0030323A">
      <w:pPr>
        <w:pStyle w:val="Heading2"/>
        <w:numPr>
          <w:ilvl w:val="0"/>
          <w:numId w:val="32"/>
        </w:numPr>
        <w:rPr>
          <w:rFonts w:ascii="Garamond" w:hAnsi="Garamond"/>
          <w:color w:val="000000" w:themeColor="text1"/>
        </w:rPr>
      </w:pPr>
      <w:bookmarkStart w:id="11" w:name="_Toc66731780"/>
      <w:r w:rsidRPr="00E92768">
        <w:rPr>
          <w:rFonts w:ascii="Garamond" w:hAnsi="Garamond"/>
          <w:color w:val="000000" w:themeColor="text1"/>
        </w:rPr>
        <w:t>Post King-Crane Commission</w:t>
      </w:r>
      <w:bookmarkEnd w:id="11"/>
    </w:p>
    <w:p w14:paraId="4C2E9B11" w14:textId="77777777" w:rsidR="0030323A" w:rsidRPr="00E92768" w:rsidRDefault="0030323A" w:rsidP="0030323A"/>
    <w:p w14:paraId="32FFCBB8" w14:textId="7EEBE271" w:rsidR="0030323A" w:rsidRDefault="0030323A" w:rsidP="0030323A">
      <w:pPr>
        <w:spacing w:line="480" w:lineRule="auto"/>
        <w:ind w:firstLine="360"/>
        <w:rPr>
          <w:rFonts w:ascii="Garamond" w:hAnsi="Garamond"/>
          <w:color w:val="000000" w:themeColor="text1"/>
        </w:rPr>
      </w:pPr>
      <w:r>
        <w:rPr>
          <w:rFonts w:ascii="Garamond" w:hAnsi="Garamond"/>
          <w:i/>
          <w:iCs/>
          <w:color w:val="000000" w:themeColor="text1"/>
        </w:rPr>
        <w:lastRenderedPageBreak/>
        <w:t xml:space="preserve">The Editor and Publisher </w:t>
      </w:r>
      <w:r>
        <w:rPr>
          <w:rFonts w:ascii="Garamond" w:hAnsi="Garamond"/>
          <w:color w:val="000000" w:themeColor="text1"/>
        </w:rPr>
        <w:t>magazine</w:t>
      </w:r>
      <w:r w:rsidRPr="001B1C7A">
        <w:rPr>
          <w:rFonts w:ascii="Garamond" w:hAnsi="Garamond"/>
          <w:color w:val="000000" w:themeColor="text1"/>
        </w:rPr>
        <w:t xml:space="preserve"> published the K</w:t>
      </w:r>
      <w:r w:rsidR="00700F22">
        <w:rPr>
          <w:rFonts w:ascii="Garamond" w:hAnsi="Garamond"/>
          <w:color w:val="000000" w:themeColor="text1"/>
        </w:rPr>
        <w:t>.</w:t>
      </w:r>
      <w:r w:rsidRPr="001B1C7A">
        <w:rPr>
          <w:rFonts w:ascii="Garamond" w:hAnsi="Garamond"/>
          <w:color w:val="000000" w:themeColor="text1"/>
        </w:rPr>
        <w:t>C</w:t>
      </w:r>
      <w:r w:rsidR="00700F22">
        <w:rPr>
          <w:rFonts w:ascii="Garamond" w:hAnsi="Garamond"/>
          <w:color w:val="000000" w:themeColor="text1"/>
        </w:rPr>
        <w:t>.</w:t>
      </w:r>
      <w:r w:rsidRPr="001B1C7A">
        <w:rPr>
          <w:rFonts w:ascii="Garamond" w:hAnsi="Garamond"/>
          <w:color w:val="000000" w:themeColor="text1"/>
        </w:rPr>
        <w:t>C</w:t>
      </w:r>
      <w:r w:rsidR="00700F22">
        <w:rPr>
          <w:rFonts w:ascii="Garamond" w:hAnsi="Garamond"/>
          <w:color w:val="000000" w:themeColor="text1"/>
        </w:rPr>
        <w:t>.</w:t>
      </w:r>
      <w:r w:rsidRPr="001B1C7A">
        <w:rPr>
          <w:rFonts w:ascii="Garamond" w:hAnsi="Garamond"/>
          <w:color w:val="000000" w:themeColor="text1"/>
        </w:rPr>
        <w:t xml:space="preserve"> report in 1922. Although the State Department never released the report, Wilson’s government pursued oil policies in 1920 and 1921 that </w:t>
      </w:r>
      <w:r w:rsidR="004A617B">
        <w:rPr>
          <w:rFonts w:ascii="Garamond" w:hAnsi="Garamond"/>
          <w:color w:val="000000" w:themeColor="text1"/>
        </w:rPr>
        <w:t>reflected</w:t>
      </w:r>
      <w:r w:rsidRPr="001B1C7A">
        <w:rPr>
          <w:rFonts w:ascii="Garamond" w:hAnsi="Garamond"/>
          <w:color w:val="000000" w:themeColor="text1"/>
        </w:rPr>
        <w:t xml:space="preserve"> recommendations made by members of the K</w:t>
      </w:r>
      <w:r w:rsidR="00700F22">
        <w:rPr>
          <w:rFonts w:ascii="Garamond" w:hAnsi="Garamond"/>
          <w:color w:val="000000" w:themeColor="text1"/>
        </w:rPr>
        <w:t>.</w:t>
      </w:r>
      <w:r w:rsidRPr="001B1C7A">
        <w:rPr>
          <w:rFonts w:ascii="Garamond" w:hAnsi="Garamond"/>
          <w:color w:val="000000" w:themeColor="text1"/>
        </w:rPr>
        <w:t>C</w:t>
      </w:r>
      <w:r w:rsidR="00700F22">
        <w:rPr>
          <w:rFonts w:ascii="Garamond" w:hAnsi="Garamond"/>
          <w:color w:val="000000" w:themeColor="text1"/>
        </w:rPr>
        <w:t>.</w:t>
      </w:r>
      <w:r w:rsidRPr="001B1C7A">
        <w:rPr>
          <w:rFonts w:ascii="Garamond" w:hAnsi="Garamond"/>
          <w:color w:val="000000" w:themeColor="text1"/>
        </w:rPr>
        <w:t>C</w:t>
      </w:r>
      <w:r w:rsidR="00700F22">
        <w:rPr>
          <w:rFonts w:ascii="Garamond" w:hAnsi="Garamond"/>
          <w:color w:val="000000" w:themeColor="text1"/>
        </w:rPr>
        <w:t>.</w:t>
      </w:r>
      <w:r w:rsidRPr="001B1C7A">
        <w:rPr>
          <w:rFonts w:ascii="Garamond" w:hAnsi="Garamond"/>
          <w:color w:val="000000" w:themeColor="text1"/>
        </w:rPr>
        <w:t xml:space="preserve">, specifically </w:t>
      </w:r>
      <w:r w:rsidR="00700F22">
        <w:rPr>
          <w:rFonts w:ascii="Garamond" w:hAnsi="Garamond"/>
          <w:color w:val="000000" w:themeColor="text1"/>
        </w:rPr>
        <w:t>in</w:t>
      </w:r>
      <w:r w:rsidR="007F3D46">
        <w:rPr>
          <w:rFonts w:ascii="Garamond" w:hAnsi="Garamond"/>
          <w:color w:val="000000" w:themeColor="text1"/>
        </w:rPr>
        <w:t xml:space="preserve"> individual</w:t>
      </w:r>
      <w:r w:rsidR="00700F22">
        <w:rPr>
          <w:rFonts w:ascii="Garamond" w:hAnsi="Garamond"/>
          <w:color w:val="000000" w:themeColor="text1"/>
        </w:rPr>
        <w:t xml:space="preserve"> reports Yale wrote for policymakers.</w:t>
      </w:r>
      <w:r w:rsidRPr="001B1C7A">
        <w:rPr>
          <w:rFonts w:ascii="Garamond" w:hAnsi="Garamond"/>
          <w:color w:val="000000" w:themeColor="text1"/>
        </w:rPr>
        <w:t xml:space="preserve"> </w:t>
      </w:r>
      <w:r w:rsidR="00B52A72">
        <w:rPr>
          <w:rFonts w:ascii="Garamond" w:hAnsi="Garamond"/>
          <w:color w:val="000000" w:themeColor="text1"/>
        </w:rPr>
        <w:t xml:space="preserve">After the </w:t>
      </w:r>
      <w:r w:rsidR="00C6532D">
        <w:rPr>
          <w:rFonts w:ascii="Garamond" w:hAnsi="Garamond"/>
          <w:color w:val="000000" w:themeColor="text1"/>
        </w:rPr>
        <w:t>K.C.C.</w:t>
      </w:r>
      <w:r w:rsidR="00B52A72">
        <w:rPr>
          <w:rFonts w:ascii="Garamond" w:hAnsi="Garamond"/>
          <w:color w:val="000000" w:themeColor="text1"/>
        </w:rPr>
        <w:t xml:space="preserve"> returned to Paris</w:t>
      </w:r>
      <w:r w:rsidR="007F3D46">
        <w:rPr>
          <w:rFonts w:ascii="Garamond" w:hAnsi="Garamond"/>
          <w:color w:val="000000" w:themeColor="text1"/>
        </w:rPr>
        <w:t xml:space="preserve"> from the Levant</w:t>
      </w:r>
      <w:r w:rsidR="00B52A72">
        <w:rPr>
          <w:rFonts w:ascii="Garamond" w:hAnsi="Garamond"/>
          <w:color w:val="000000" w:themeColor="text1"/>
        </w:rPr>
        <w:t xml:space="preserve">, Yale went on to London, where he spoke with British </w:t>
      </w:r>
      <w:r w:rsidR="007F3D46">
        <w:rPr>
          <w:rFonts w:ascii="Garamond" w:hAnsi="Garamond"/>
          <w:color w:val="000000" w:themeColor="text1"/>
        </w:rPr>
        <w:t xml:space="preserve">decision makers </w:t>
      </w:r>
      <w:r w:rsidR="00B52A72">
        <w:rPr>
          <w:rFonts w:ascii="Garamond" w:hAnsi="Garamond"/>
          <w:color w:val="000000" w:themeColor="text1"/>
        </w:rPr>
        <w:t>about exclusionary oil practices and wrote reports for high</w:t>
      </w:r>
      <w:r w:rsidR="00E97087">
        <w:rPr>
          <w:rFonts w:ascii="Garamond" w:hAnsi="Garamond"/>
          <w:color w:val="000000" w:themeColor="text1"/>
        </w:rPr>
        <w:t>-</w:t>
      </w:r>
      <w:r w:rsidR="00B52A72">
        <w:rPr>
          <w:rFonts w:ascii="Garamond" w:hAnsi="Garamond"/>
          <w:color w:val="000000" w:themeColor="text1"/>
        </w:rPr>
        <w:t xml:space="preserve">level U.S. policymakers. His position on the </w:t>
      </w:r>
      <w:r w:rsidR="00C6532D">
        <w:rPr>
          <w:rFonts w:ascii="Garamond" w:hAnsi="Garamond"/>
          <w:color w:val="000000" w:themeColor="text1"/>
        </w:rPr>
        <w:t>K.C.C.</w:t>
      </w:r>
      <w:r w:rsidR="00B52A72">
        <w:rPr>
          <w:rFonts w:ascii="Garamond" w:hAnsi="Garamond"/>
          <w:color w:val="000000" w:themeColor="text1"/>
        </w:rPr>
        <w:t xml:space="preserve"> enabled him this access.</w:t>
      </w:r>
      <w:r w:rsidR="00B52A72">
        <w:rPr>
          <w:rStyle w:val="FootnoteReference"/>
          <w:rFonts w:ascii="Garamond" w:hAnsi="Garamond"/>
          <w:color w:val="000000" w:themeColor="text1"/>
        </w:rPr>
        <w:footnoteReference w:id="59"/>
      </w:r>
      <w:r w:rsidR="00B52A72">
        <w:rPr>
          <w:rFonts w:ascii="Garamond" w:hAnsi="Garamond"/>
          <w:color w:val="000000" w:themeColor="text1"/>
        </w:rPr>
        <w:t xml:space="preserve"> </w:t>
      </w:r>
    </w:p>
    <w:p w14:paraId="1A3724F1" w14:textId="1BC00F6F" w:rsidR="0030323A" w:rsidRDefault="0030323A" w:rsidP="00B52A72">
      <w:pPr>
        <w:spacing w:line="480" w:lineRule="auto"/>
        <w:ind w:firstLine="360"/>
        <w:rPr>
          <w:rFonts w:ascii="Garamond" w:hAnsi="Garamond"/>
          <w:color w:val="000000" w:themeColor="text1"/>
        </w:rPr>
      </w:pPr>
      <w:r>
        <w:rPr>
          <w:rFonts w:ascii="Garamond" w:hAnsi="Garamond"/>
          <w:color w:val="000000" w:themeColor="text1"/>
        </w:rPr>
        <w:t xml:space="preserve">In </w:t>
      </w:r>
      <w:r w:rsidRPr="001B1C7A">
        <w:rPr>
          <w:rFonts w:ascii="Garamond" w:hAnsi="Garamond"/>
          <w:color w:val="000000" w:themeColor="text1"/>
        </w:rPr>
        <w:t>1920, Wilson signed the Mineral Leasing Act, which regulated U.S. government sale of oil concessions on its land.</w:t>
      </w:r>
      <w:r w:rsidR="002440FD">
        <w:rPr>
          <w:rStyle w:val="FootnoteReference"/>
          <w:rFonts w:ascii="Garamond" w:hAnsi="Garamond"/>
          <w:color w:val="000000" w:themeColor="text1"/>
        </w:rPr>
        <w:footnoteReference w:id="60"/>
      </w:r>
      <w:r w:rsidRPr="001B1C7A">
        <w:rPr>
          <w:rFonts w:ascii="Garamond" w:hAnsi="Garamond"/>
          <w:color w:val="000000" w:themeColor="text1"/>
        </w:rPr>
        <w:t xml:space="preserve"> During his time on the </w:t>
      </w:r>
      <w:r w:rsidR="00C6532D">
        <w:rPr>
          <w:rFonts w:ascii="Garamond" w:hAnsi="Garamond"/>
          <w:color w:val="000000" w:themeColor="text1"/>
        </w:rPr>
        <w:t>K.C.C.</w:t>
      </w:r>
      <w:r w:rsidRPr="001B1C7A">
        <w:rPr>
          <w:rFonts w:ascii="Garamond" w:hAnsi="Garamond"/>
          <w:color w:val="000000" w:themeColor="text1"/>
        </w:rPr>
        <w:t xml:space="preserve">, Yale noted that Europeans regulated oil concessions in their own territory, but the U.S. did not. Furthermore, </w:t>
      </w:r>
      <w:r w:rsidR="00BF6BAA">
        <w:rPr>
          <w:rFonts w:ascii="Garamond" w:hAnsi="Garamond"/>
          <w:color w:val="000000" w:themeColor="text1"/>
        </w:rPr>
        <w:t xml:space="preserve">and more importantly to this paper, </w:t>
      </w:r>
      <w:r>
        <w:rPr>
          <w:rFonts w:ascii="Garamond" w:hAnsi="Garamond"/>
          <w:color w:val="000000" w:themeColor="text1"/>
        </w:rPr>
        <w:t xml:space="preserve">the U.S. sent Britain an official note in </w:t>
      </w:r>
      <w:r w:rsidR="00914E7C">
        <w:rPr>
          <w:rFonts w:ascii="Garamond" w:hAnsi="Garamond"/>
          <w:color w:val="000000" w:themeColor="text1"/>
        </w:rPr>
        <w:t xml:space="preserve">mid - </w:t>
      </w:r>
      <w:r w:rsidRPr="001B1C7A">
        <w:rPr>
          <w:rFonts w:ascii="Garamond" w:hAnsi="Garamond"/>
          <w:color w:val="000000" w:themeColor="text1"/>
        </w:rPr>
        <w:t>192</w:t>
      </w:r>
      <w:r w:rsidR="00914E7C">
        <w:rPr>
          <w:rFonts w:ascii="Garamond" w:hAnsi="Garamond"/>
          <w:color w:val="000000" w:themeColor="text1"/>
        </w:rPr>
        <w:t>0</w:t>
      </w:r>
      <w:r w:rsidRPr="001B1C7A">
        <w:rPr>
          <w:rFonts w:ascii="Garamond" w:hAnsi="Garamond"/>
          <w:color w:val="000000" w:themeColor="text1"/>
        </w:rPr>
        <w:t xml:space="preserve">, </w:t>
      </w:r>
      <w:r>
        <w:rPr>
          <w:rFonts w:ascii="Garamond" w:hAnsi="Garamond"/>
          <w:color w:val="000000" w:themeColor="text1"/>
        </w:rPr>
        <w:t>calling for “</w:t>
      </w:r>
      <w:r w:rsidRPr="001B1C7A">
        <w:rPr>
          <w:rFonts w:ascii="Garamond" w:hAnsi="Garamond"/>
          <w:color w:val="000000" w:themeColor="text1"/>
          <w:shd w:val="clear" w:color="auto" w:fill="FFFFFF"/>
        </w:rPr>
        <w:t>equal treatment in law and in fact to the commerce of all nations</w:t>
      </w:r>
      <w:r w:rsidR="0043571C">
        <w:rPr>
          <w:rFonts w:ascii="Garamond" w:hAnsi="Garamond"/>
          <w:color w:val="000000" w:themeColor="text1"/>
          <w:shd w:val="clear" w:color="auto" w:fill="FFFFFF"/>
        </w:rPr>
        <w:t>.</w:t>
      </w:r>
      <w:r>
        <w:rPr>
          <w:rFonts w:ascii="Garamond" w:hAnsi="Garamond"/>
          <w:color w:val="000000" w:themeColor="text1"/>
          <w:shd w:val="clear" w:color="auto" w:fill="FFFFFF"/>
        </w:rPr>
        <w:t>”</w:t>
      </w:r>
      <w:r>
        <w:rPr>
          <w:rStyle w:val="FootnoteReference"/>
          <w:rFonts w:ascii="Garamond" w:hAnsi="Garamond"/>
          <w:color w:val="000000" w:themeColor="text1"/>
        </w:rPr>
        <w:footnoteReference w:id="61"/>
      </w:r>
      <w:r w:rsidRPr="001B1C7A">
        <w:rPr>
          <w:rFonts w:ascii="Garamond" w:hAnsi="Garamond"/>
          <w:color w:val="000000" w:themeColor="text1"/>
        </w:rPr>
        <w:t xml:space="preserve"> </w:t>
      </w:r>
      <w:r>
        <w:rPr>
          <w:rFonts w:ascii="Garamond" w:hAnsi="Garamond"/>
          <w:color w:val="000000" w:themeColor="text1"/>
        </w:rPr>
        <w:t xml:space="preserve">This note </w:t>
      </w:r>
      <w:r w:rsidR="007F3D46">
        <w:rPr>
          <w:rFonts w:ascii="Garamond" w:hAnsi="Garamond"/>
          <w:color w:val="000000" w:themeColor="text1"/>
        </w:rPr>
        <w:t xml:space="preserve">was </w:t>
      </w:r>
      <w:r>
        <w:rPr>
          <w:rFonts w:ascii="Garamond" w:hAnsi="Garamond"/>
          <w:color w:val="000000" w:themeColor="text1"/>
        </w:rPr>
        <w:t xml:space="preserve">the most official U.S. articulation of the </w:t>
      </w:r>
      <w:r w:rsidR="00C6532D">
        <w:rPr>
          <w:rFonts w:ascii="Garamond" w:hAnsi="Garamond"/>
          <w:color w:val="000000" w:themeColor="text1"/>
        </w:rPr>
        <w:t>Open Door</w:t>
      </w:r>
      <w:r>
        <w:rPr>
          <w:rFonts w:ascii="Garamond" w:hAnsi="Garamond"/>
          <w:color w:val="000000" w:themeColor="text1"/>
        </w:rPr>
        <w:t xml:space="preserve"> in the Middle East.</w:t>
      </w:r>
      <w:r w:rsidRPr="001B1C7A">
        <w:rPr>
          <w:rFonts w:ascii="Garamond" w:hAnsi="Garamond"/>
          <w:color w:val="000000" w:themeColor="text1"/>
        </w:rPr>
        <w:t xml:space="preserve"> Yale</w:t>
      </w:r>
      <w:r w:rsidR="002440FD">
        <w:rPr>
          <w:rFonts w:ascii="Garamond" w:hAnsi="Garamond"/>
          <w:color w:val="000000" w:themeColor="text1"/>
        </w:rPr>
        <w:t>, i</w:t>
      </w:r>
      <w:r w:rsidR="002440FD" w:rsidRPr="001B1C7A">
        <w:rPr>
          <w:rFonts w:ascii="Garamond" w:hAnsi="Garamond"/>
          <w:color w:val="000000" w:themeColor="text1"/>
        </w:rPr>
        <w:t>ncidentally</w:t>
      </w:r>
      <w:r w:rsidR="002440FD">
        <w:rPr>
          <w:rFonts w:ascii="Garamond" w:hAnsi="Garamond"/>
          <w:color w:val="000000" w:themeColor="text1"/>
        </w:rPr>
        <w:t>,</w:t>
      </w:r>
      <w:r w:rsidRPr="001B1C7A">
        <w:rPr>
          <w:rFonts w:ascii="Garamond" w:hAnsi="Garamond"/>
          <w:color w:val="000000" w:themeColor="text1"/>
        </w:rPr>
        <w:t xml:space="preserve"> had recommended this same policy while on the </w:t>
      </w:r>
      <w:r w:rsidR="00C6532D">
        <w:rPr>
          <w:rFonts w:ascii="Garamond" w:hAnsi="Garamond"/>
          <w:color w:val="000000" w:themeColor="text1"/>
        </w:rPr>
        <w:t>K.C.C</w:t>
      </w:r>
      <w:r w:rsidR="002440FD">
        <w:rPr>
          <w:rFonts w:ascii="Garamond" w:hAnsi="Garamond"/>
          <w:color w:val="000000" w:themeColor="text1"/>
        </w:rPr>
        <w:t xml:space="preserve">. </w:t>
      </w:r>
      <w:r>
        <w:rPr>
          <w:rFonts w:ascii="Garamond" w:hAnsi="Garamond"/>
          <w:color w:val="000000" w:themeColor="text1"/>
        </w:rPr>
        <w:t>and while talking to U.S. officials involved in making the decisions about this policy</w:t>
      </w:r>
      <w:r w:rsidRPr="001B1C7A">
        <w:rPr>
          <w:rFonts w:ascii="Garamond" w:hAnsi="Garamond"/>
          <w:color w:val="000000" w:themeColor="text1"/>
        </w:rPr>
        <w:t xml:space="preserve">. </w:t>
      </w:r>
      <w:r w:rsidR="00FF6121">
        <w:rPr>
          <w:rFonts w:ascii="Garamond" w:hAnsi="Garamond"/>
          <w:color w:val="000000" w:themeColor="text1"/>
        </w:rPr>
        <w:t>A</w:t>
      </w:r>
      <w:r w:rsidRPr="001B1C7A">
        <w:rPr>
          <w:rFonts w:ascii="Garamond" w:hAnsi="Garamond"/>
          <w:color w:val="000000" w:themeColor="text1"/>
        </w:rPr>
        <w:t xml:space="preserve"> further </w:t>
      </w:r>
      <w:r w:rsidR="00FF6121" w:rsidRPr="001B1C7A">
        <w:rPr>
          <w:rFonts w:ascii="Garamond" w:hAnsi="Garamond"/>
          <w:color w:val="000000" w:themeColor="text1"/>
        </w:rPr>
        <w:t>analy</w:t>
      </w:r>
      <w:r w:rsidR="00FF6121">
        <w:rPr>
          <w:rFonts w:ascii="Garamond" w:hAnsi="Garamond"/>
          <w:color w:val="000000" w:themeColor="text1"/>
        </w:rPr>
        <w:t>sis of</w:t>
      </w:r>
      <w:r w:rsidR="00FF6121" w:rsidRPr="001B1C7A">
        <w:rPr>
          <w:rFonts w:ascii="Garamond" w:hAnsi="Garamond"/>
          <w:color w:val="000000" w:themeColor="text1"/>
        </w:rPr>
        <w:t xml:space="preserve"> </w:t>
      </w:r>
      <w:r w:rsidRPr="001B1C7A">
        <w:rPr>
          <w:rFonts w:ascii="Garamond" w:hAnsi="Garamond"/>
          <w:color w:val="000000" w:themeColor="text1"/>
        </w:rPr>
        <w:t xml:space="preserve">the literature, correspondence and experiences of the </w:t>
      </w:r>
      <w:r w:rsidR="00C6532D">
        <w:rPr>
          <w:rFonts w:ascii="Garamond" w:hAnsi="Garamond"/>
          <w:color w:val="000000" w:themeColor="text1"/>
        </w:rPr>
        <w:t>K.C.C.</w:t>
      </w:r>
      <w:r w:rsidRPr="001B1C7A">
        <w:rPr>
          <w:rFonts w:ascii="Garamond" w:hAnsi="Garamond"/>
          <w:color w:val="000000" w:themeColor="text1"/>
        </w:rPr>
        <w:t xml:space="preserve"> </w:t>
      </w:r>
      <w:r w:rsidR="00FF6121">
        <w:rPr>
          <w:rFonts w:ascii="Garamond" w:hAnsi="Garamond"/>
          <w:color w:val="000000" w:themeColor="text1"/>
        </w:rPr>
        <w:t>reveals</w:t>
      </w:r>
      <w:r w:rsidRPr="001B1C7A">
        <w:rPr>
          <w:rFonts w:ascii="Garamond" w:hAnsi="Garamond"/>
          <w:color w:val="000000" w:themeColor="text1"/>
        </w:rPr>
        <w:t xml:space="preserve"> how </w:t>
      </w:r>
      <w:r w:rsidR="00FF6121">
        <w:rPr>
          <w:rFonts w:ascii="Garamond" w:hAnsi="Garamond"/>
          <w:color w:val="000000" w:themeColor="text1"/>
        </w:rPr>
        <w:t>its</w:t>
      </w:r>
      <w:r w:rsidR="00FF6121" w:rsidRPr="001B1C7A">
        <w:rPr>
          <w:rFonts w:ascii="Garamond" w:hAnsi="Garamond"/>
          <w:color w:val="000000" w:themeColor="text1"/>
        </w:rPr>
        <w:t xml:space="preserve"> </w:t>
      </w:r>
      <w:r w:rsidRPr="001B1C7A">
        <w:rPr>
          <w:rFonts w:ascii="Garamond" w:hAnsi="Garamond"/>
          <w:color w:val="000000" w:themeColor="text1"/>
        </w:rPr>
        <w:t xml:space="preserve">actions affected post World War I U.S. oil policy. </w:t>
      </w:r>
    </w:p>
    <w:p w14:paraId="5090F5E2" w14:textId="321CD2FE" w:rsidR="0030323A" w:rsidRDefault="0030323A" w:rsidP="0030323A">
      <w:pPr>
        <w:pStyle w:val="Heading1"/>
        <w:numPr>
          <w:ilvl w:val="0"/>
          <w:numId w:val="31"/>
        </w:numPr>
        <w:rPr>
          <w:rFonts w:ascii="Garamond" w:hAnsi="Garamond"/>
          <w:color w:val="000000" w:themeColor="text1"/>
        </w:rPr>
      </w:pPr>
      <w:bookmarkStart w:id="12" w:name="_Toc65503963"/>
      <w:bookmarkStart w:id="13" w:name="_Toc65577904"/>
      <w:bookmarkStart w:id="14" w:name="_Toc65613407"/>
      <w:bookmarkStart w:id="15" w:name="_Toc65844080"/>
      <w:bookmarkStart w:id="16" w:name="_Toc65844126"/>
      <w:bookmarkStart w:id="17" w:name="_Toc66731781"/>
      <w:bookmarkStart w:id="18" w:name="_Toc66731782"/>
      <w:bookmarkEnd w:id="12"/>
      <w:bookmarkEnd w:id="13"/>
      <w:bookmarkEnd w:id="14"/>
      <w:bookmarkEnd w:id="15"/>
      <w:bookmarkEnd w:id="16"/>
      <w:bookmarkEnd w:id="17"/>
      <w:r w:rsidRPr="00E92768">
        <w:rPr>
          <w:rFonts w:ascii="Garamond" w:hAnsi="Garamond"/>
          <w:color w:val="000000" w:themeColor="text1"/>
        </w:rPr>
        <w:t xml:space="preserve">Review of </w:t>
      </w:r>
      <w:r w:rsidR="006948FA">
        <w:rPr>
          <w:rFonts w:ascii="Garamond" w:hAnsi="Garamond"/>
          <w:color w:val="000000" w:themeColor="text1"/>
        </w:rPr>
        <w:t>the</w:t>
      </w:r>
      <w:r w:rsidR="006948FA" w:rsidRPr="00E92768">
        <w:rPr>
          <w:rFonts w:ascii="Garamond" w:hAnsi="Garamond"/>
          <w:color w:val="000000" w:themeColor="text1"/>
        </w:rPr>
        <w:t xml:space="preserve"> </w:t>
      </w:r>
      <w:r w:rsidRPr="00E92768">
        <w:rPr>
          <w:rFonts w:ascii="Garamond" w:hAnsi="Garamond"/>
          <w:color w:val="000000" w:themeColor="text1"/>
        </w:rPr>
        <w:t>Literature</w:t>
      </w:r>
      <w:bookmarkEnd w:id="18"/>
      <w:r w:rsidRPr="00E92768">
        <w:rPr>
          <w:rFonts w:ascii="Garamond" w:hAnsi="Garamond"/>
          <w:color w:val="000000" w:themeColor="text1"/>
        </w:rPr>
        <w:t xml:space="preserve"> </w:t>
      </w:r>
    </w:p>
    <w:p w14:paraId="6435D21D" w14:textId="77777777" w:rsidR="0030323A" w:rsidRPr="00E92768" w:rsidRDefault="0030323A" w:rsidP="0030323A">
      <w:pPr>
        <w:rPr>
          <w:lang w:bidi="en-US"/>
        </w:rPr>
      </w:pPr>
    </w:p>
    <w:p w14:paraId="7FCA9BC4" w14:textId="77777777" w:rsidR="0030323A" w:rsidRDefault="0030323A" w:rsidP="0030323A">
      <w:pPr>
        <w:pStyle w:val="Heading2"/>
        <w:numPr>
          <w:ilvl w:val="0"/>
          <w:numId w:val="33"/>
        </w:numPr>
        <w:rPr>
          <w:rFonts w:ascii="Garamond" w:hAnsi="Garamond"/>
          <w:color w:val="000000" w:themeColor="text1"/>
        </w:rPr>
      </w:pPr>
      <w:bookmarkStart w:id="19" w:name="_Toc66731783"/>
      <w:r w:rsidRPr="00E92768">
        <w:rPr>
          <w:rFonts w:ascii="Garamond" w:hAnsi="Garamond"/>
          <w:color w:val="000000" w:themeColor="text1"/>
        </w:rPr>
        <w:t>Wilsonianism and the Post World War I Middle East</w:t>
      </w:r>
      <w:bookmarkEnd w:id="19"/>
      <w:r w:rsidRPr="00E92768">
        <w:rPr>
          <w:rFonts w:ascii="Garamond" w:hAnsi="Garamond"/>
          <w:color w:val="000000" w:themeColor="text1"/>
        </w:rPr>
        <w:t xml:space="preserve"> </w:t>
      </w:r>
    </w:p>
    <w:p w14:paraId="1AC6AA5D" w14:textId="77777777" w:rsidR="0030323A" w:rsidRPr="00E92768" w:rsidRDefault="0030323A" w:rsidP="0030323A"/>
    <w:p w14:paraId="52826483" w14:textId="16D7208F" w:rsidR="0030323A" w:rsidRPr="001B1C7A" w:rsidRDefault="00282FDB" w:rsidP="0030323A">
      <w:pPr>
        <w:spacing w:line="480" w:lineRule="auto"/>
        <w:ind w:firstLine="720"/>
        <w:rPr>
          <w:rFonts w:ascii="Garamond" w:hAnsi="Garamond"/>
          <w:color w:val="000000" w:themeColor="text1"/>
        </w:rPr>
      </w:pPr>
      <w:r>
        <w:rPr>
          <w:rFonts w:ascii="Garamond" w:hAnsi="Garamond"/>
          <w:color w:val="000000" w:themeColor="text1"/>
        </w:rPr>
        <w:t xml:space="preserve">Before further examining oil competition, it is necessary to reach a basic understanding of Wilson’s post World War I undertakings. </w:t>
      </w:r>
      <w:r w:rsidR="0030323A" w:rsidRPr="001B1C7A">
        <w:rPr>
          <w:rFonts w:ascii="Garamond" w:hAnsi="Garamond"/>
          <w:color w:val="000000" w:themeColor="text1"/>
        </w:rPr>
        <w:t>Despite Wilson’s idealism and endorsement of self-determination, scholars note the gap between Wilson’s idealistic rhetoric and American actions. E</w:t>
      </w:r>
      <w:r w:rsidR="00E0013E">
        <w:rPr>
          <w:rFonts w:ascii="Garamond" w:hAnsi="Garamond"/>
          <w:color w:val="000000" w:themeColor="text1"/>
        </w:rPr>
        <w:t>rez</w:t>
      </w:r>
      <w:r w:rsidR="0030323A" w:rsidRPr="001B1C7A">
        <w:rPr>
          <w:rFonts w:ascii="Garamond" w:hAnsi="Garamond"/>
          <w:color w:val="000000" w:themeColor="text1"/>
        </w:rPr>
        <w:t xml:space="preserve"> Manela demonstrates that Wilson’s language inspired nationalist movements, but U.S. actions failed </w:t>
      </w:r>
      <w:r w:rsidR="0030323A" w:rsidRPr="001B1C7A">
        <w:rPr>
          <w:rFonts w:ascii="Garamond" w:hAnsi="Garamond"/>
          <w:color w:val="000000" w:themeColor="text1"/>
        </w:rPr>
        <w:lastRenderedPageBreak/>
        <w:t>to align with Wilson’s words.</w:t>
      </w:r>
      <w:r w:rsidR="0030323A">
        <w:rPr>
          <w:rStyle w:val="FootnoteReference"/>
          <w:rFonts w:ascii="Garamond" w:hAnsi="Garamond"/>
          <w:color w:val="000000" w:themeColor="text1"/>
        </w:rPr>
        <w:footnoteReference w:id="62"/>
      </w:r>
      <w:r w:rsidR="0030323A" w:rsidRPr="001B1C7A">
        <w:rPr>
          <w:rFonts w:ascii="Garamond" w:hAnsi="Garamond"/>
          <w:color w:val="000000" w:themeColor="text1"/>
        </w:rPr>
        <w:t xml:space="preserve"> Manela also emphasizes that U.S. alliances with England and France took priority over self–determination. Even so, galvanized by Wilson’s rhetoric, colonized populations around the world, from India to Syria, hailed Wilson as a harbinger of independence. </w:t>
      </w:r>
    </w:p>
    <w:p w14:paraId="6F56CE4D" w14:textId="5608CFF6" w:rsidR="0030323A" w:rsidRPr="001B1C7A" w:rsidRDefault="0030323A" w:rsidP="0030323A">
      <w:pPr>
        <w:spacing w:line="480" w:lineRule="auto"/>
        <w:rPr>
          <w:rFonts w:ascii="Garamond" w:hAnsi="Garamond"/>
          <w:color w:val="000000" w:themeColor="text1"/>
        </w:rPr>
      </w:pPr>
      <w:r w:rsidRPr="001B1C7A">
        <w:rPr>
          <w:rFonts w:ascii="Garamond" w:hAnsi="Garamond"/>
          <w:color w:val="000000" w:themeColor="text1"/>
        </w:rPr>
        <w:t xml:space="preserve">  </w:t>
      </w:r>
      <w:r w:rsidRPr="001B1C7A">
        <w:rPr>
          <w:rFonts w:ascii="Garamond" w:hAnsi="Garamond"/>
          <w:color w:val="000000" w:themeColor="text1"/>
        </w:rPr>
        <w:tab/>
        <w:t xml:space="preserve">Other scholars emphasize how the mandate system contradicted Wilsonian self-determination. Thomas Knock, in </w:t>
      </w:r>
      <w:r w:rsidRPr="001B1C7A">
        <w:rPr>
          <w:rFonts w:ascii="Garamond" w:hAnsi="Garamond"/>
          <w:i/>
          <w:iCs/>
          <w:color w:val="000000" w:themeColor="text1"/>
        </w:rPr>
        <w:t xml:space="preserve">To End All Wars, </w:t>
      </w:r>
      <w:r w:rsidRPr="001B1C7A">
        <w:rPr>
          <w:rFonts w:ascii="Garamond" w:hAnsi="Garamond"/>
          <w:color w:val="000000" w:themeColor="text1"/>
        </w:rPr>
        <w:t>established how the Peace Conference used the mandate system to appease statesman from British dominions who wanted to annex former German colonies.</w:t>
      </w:r>
      <w:r>
        <w:rPr>
          <w:rStyle w:val="FootnoteReference"/>
          <w:rFonts w:ascii="Garamond" w:hAnsi="Garamond"/>
          <w:color w:val="000000" w:themeColor="text1"/>
        </w:rPr>
        <w:footnoteReference w:id="63"/>
      </w:r>
      <w:r w:rsidRPr="001B1C7A">
        <w:rPr>
          <w:rFonts w:ascii="Garamond" w:hAnsi="Garamond"/>
          <w:color w:val="000000" w:themeColor="text1"/>
        </w:rPr>
        <w:t xml:space="preserve"> In </w:t>
      </w:r>
      <w:r w:rsidRPr="001B1C7A">
        <w:rPr>
          <w:rFonts w:ascii="Garamond" w:hAnsi="Garamond"/>
          <w:i/>
          <w:iCs/>
          <w:color w:val="000000" w:themeColor="text1"/>
        </w:rPr>
        <w:t xml:space="preserve">Paris 1919, </w:t>
      </w:r>
      <w:r w:rsidRPr="001B1C7A">
        <w:rPr>
          <w:rFonts w:ascii="Garamond" w:hAnsi="Garamond"/>
          <w:color w:val="000000" w:themeColor="text1"/>
        </w:rPr>
        <w:t xml:space="preserve">Margaret MacMillan notes how the mandate system represented </w:t>
      </w:r>
      <w:r w:rsidR="00921349">
        <w:rPr>
          <w:rFonts w:ascii="Garamond" w:hAnsi="Garamond"/>
          <w:color w:val="000000" w:themeColor="text1"/>
        </w:rPr>
        <w:t xml:space="preserve">implicit </w:t>
      </w:r>
      <w:r w:rsidRPr="001B1C7A">
        <w:rPr>
          <w:rFonts w:ascii="Garamond" w:hAnsi="Garamond"/>
          <w:color w:val="000000" w:themeColor="text1"/>
        </w:rPr>
        <w:t>annexation</w:t>
      </w:r>
      <w:r w:rsidR="00921349">
        <w:rPr>
          <w:rFonts w:ascii="Garamond" w:hAnsi="Garamond"/>
          <w:color w:val="000000" w:themeColor="text1"/>
        </w:rPr>
        <w:t xml:space="preserve">, </w:t>
      </w:r>
      <w:r w:rsidRPr="001B1C7A">
        <w:rPr>
          <w:rFonts w:ascii="Garamond" w:hAnsi="Garamond"/>
          <w:color w:val="000000" w:themeColor="text1"/>
        </w:rPr>
        <w:t>consolidating imperial hegemony over their former spheres of influence.</w:t>
      </w:r>
      <w:r>
        <w:rPr>
          <w:rStyle w:val="FootnoteReference"/>
          <w:rFonts w:ascii="Garamond" w:hAnsi="Garamond"/>
          <w:color w:val="000000" w:themeColor="text1"/>
        </w:rPr>
        <w:footnoteReference w:id="64"/>
      </w:r>
      <w:r w:rsidRPr="001B1C7A">
        <w:rPr>
          <w:rFonts w:ascii="Garamond" w:hAnsi="Garamond"/>
          <w:color w:val="000000" w:themeColor="text1"/>
        </w:rPr>
        <w:t xml:space="preserve"> The perceived imperialism of the mandate system contradicted Wilson’s calls for self-determination, especially Wilson’s</w:t>
      </w:r>
      <w:r w:rsidRPr="001B1C7A">
        <w:rPr>
          <w:rFonts w:ascii="Garamond" w:hAnsi="Garamond"/>
          <w:color w:val="000000" w:themeColor="text1"/>
          <w:vertAlign w:val="superscript"/>
        </w:rPr>
        <w:t xml:space="preserve"> </w:t>
      </w:r>
      <w:r w:rsidRPr="001B1C7A">
        <w:rPr>
          <w:rFonts w:ascii="Garamond" w:hAnsi="Garamond"/>
          <w:color w:val="000000" w:themeColor="text1"/>
        </w:rPr>
        <w:t>twelfth point, that demanded “unmolested autonomous development” in the former Ottoman territory.</w:t>
      </w:r>
      <w:r>
        <w:rPr>
          <w:rStyle w:val="FootnoteReference"/>
          <w:rFonts w:ascii="Garamond" w:hAnsi="Garamond"/>
          <w:color w:val="000000" w:themeColor="text1"/>
        </w:rPr>
        <w:footnoteReference w:id="65"/>
      </w:r>
      <w:r w:rsidRPr="001B1C7A">
        <w:rPr>
          <w:rFonts w:ascii="Garamond" w:hAnsi="Garamond"/>
          <w:color w:val="000000" w:themeColor="text1"/>
        </w:rPr>
        <w:t xml:space="preserve"> Knock and MacMillan’s findings align with Manela</w:t>
      </w:r>
      <w:r w:rsidR="00921349">
        <w:rPr>
          <w:rFonts w:ascii="Garamond" w:hAnsi="Garamond"/>
          <w:color w:val="000000" w:themeColor="text1"/>
        </w:rPr>
        <w:t>’s</w:t>
      </w:r>
      <w:r w:rsidRPr="001B1C7A">
        <w:rPr>
          <w:rFonts w:ascii="Garamond" w:hAnsi="Garamond"/>
          <w:color w:val="000000" w:themeColor="text1"/>
        </w:rPr>
        <w:t xml:space="preserve">, who shows that self-determination </w:t>
      </w:r>
      <w:r w:rsidR="00921349">
        <w:rPr>
          <w:rFonts w:ascii="Garamond" w:hAnsi="Garamond"/>
          <w:color w:val="000000" w:themeColor="text1"/>
        </w:rPr>
        <w:t xml:space="preserve">pertained differently to </w:t>
      </w:r>
      <w:r w:rsidRPr="001B1C7A">
        <w:rPr>
          <w:rFonts w:ascii="Garamond" w:hAnsi="Garamond"/>
          <w:color w:val="000000" w:themeColor="text1"/>
        </w:rPr>
        <w:t xml:space="preserve">Europe than </w:t>
      </w:r>
      <w:r w:rsidR="00921349">
        <w:rPr>
          <w:rFonts w:ascii="Garamond" w:hAnsi="Garamond"/>
          <w:color w:val="000000" w:themeColor="text1"/>
        </w:rPr>
        <w:t>to</w:t>
      </w:r>
      <w:r w:rsidRPr="001B1C7A">
        <w:rPr>
          <w:rFonts w:ascii="Garamond" w:hAnsi="Garamond"/>
          <w:color w:val="000000" w:themeColor="text1"/>
        </w:rPr>
        <w:t xml:space="preserve"> the </w:t>
      </w:r>
      <w:r w:rsidR="00921349">
        <w:rPr>
          <w:rFonts w:ascii="Garamond" w:hAnsi="Garamond"/>
          <w:color w:val="000000" w:themeColor="text1"/>
        </w:rPr>
        <w:t>other states</w:t>
      </w:r>
      <w:r w:rsidRPr="001B1C7A">
        <w:rPr>
          <w:rFonts w:ascii="Garamond" w:hAnsi="Garamond"/>
          <w:color w:val="000000" w:themeColor="text1"/>
        </w:rPr>
        <w:t xml:space="preserve">, as self-determination </w:t>
      </w:r>
      <w:r w:rsidR="00921349">
        <w:rPr>
          <w:rFonts w:ascii="Garamond" w:hAnsi="Garamond"/>
          <w:color w:val="000000" w:themeColor="text1"/>
        </w:rPr>
        <w:t>meant</w:t>
      </w:r>
      <w:r w:rsidRPr="001B1C7A">
        <w:rPr>
          <w:rFonts w:ascii="Garamond" w:hAnsi="Garamond"/>
          <w:color w:val="000000" w:themeColor="text1"/>
        </w:rPr>
        <w:t xml:space="preserve"> </w:t>
      </w:r>
      <w:r w:rsidR="00921349">
        <w:rPr>
          <w:rFonts w:ascii="Garamond" w:hAnsi="Garamond"/>
          <w:color w:val="000000" w:themeColor="text1"/>
        </w:rPr>
        <w:t>Polish independence,</w:t>
      </w:r>
      <w:r w:rsidRPr="001B1C7A">
        <w:rPr>
          <w:rFonts w:ascii="Garamond" w:hAnsi="Garamond"/>
          <w:color w:val="000000" w:themeColor="text1"/>
        </w:rPr>
        <w:t xml:space="preserve"> but only a choice regarding the Mandatory Power </w:t>
      </w:r>
      <w:r w:rsidR="00B52A72">
        <w:rPr>
          <w:rFonts w:ascii="Garamond" w:hAnsi="Garamond"/>
          <w:color w:val="000000" w:themeColor="text1"/>
        </w:rPr>
        <w:t>for</w:t>
      </w:r>
      <w:r w:rsidRPr="001B1C7A">
        <w:rPr>
          <w:rFonts w:ascii="Garamond" w:hAnsi="Garamond"/>
          <w:color w:val="000000" w:themeColor="text1"/>
        </w:rPr>
        <w:t xml:space="preserve"> Syria.</w:t>
      </w:r>
      <w:r>
        <w:rPr>
          <w:rStyle w:val="FootnoteReference"/>
          <w:rFonts w:ascii="Garamond" w:hAnsi="Garamond"/>
          <w:color w:val="000000" w:themeColor="text1"/>
        </w:rPr>
        <w:footnoteReference w:id="66"/>
      </w:r>
    </w:p>
    <w:p w14:paraId="70356292" w14:textId="05504946"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In </w:t>
      </w:r>
      <w:r w:rsidRPr="001B1C7A">
        <w:rPr>
          <w:rFonts w:ascii="Garamond" w:hAnsi="Garamond"/>
          <w:i/>
          <w:iCs/>
          <w:color w:val="000000" w:themeColor="text1"/>
        </w:rPr>
        <w:t>America’s Forgotten Middle East Initiative</w:t>
      </w:r>
      <w:r w:rsidRPr="001B1C7A">
        <w:rPr>
          <w:rFonts w:ascii="Garamond" w:hAnsi="Garamond"/>
          <w:color w:val="000000" w:themeColor="text1"/>
        </w:rPr>
        <w:t xml:space="preserve">, historian Andrew Patrick establishes that the </w:t>
      </w:r>
      <w:r w:rsidR="00C6532D">
        <w:rPr>
          <w:rFonts w:ascii="Garamond" w:hAnsi="Garamond"/>
          <w:color w:val="000000" w:themeColor="text1"/>
        </w:rPr>
        <w:t>K.C.C.</w:t>
      </w:r>
      <w:r w:rsidRPr="001B1C7A">
        <w:rPr>
          <w:rFonts w:ascii="Garamond" w:hAnsi="Garamond"/>
          <w:color w:val="000000" w:themeColor="text1"/>
        </w:rPr>
        <w:t xml:space="preserve"> intended to gauge Syria’s preferred mandatory power, but the State Department smothered the commission’s pro-independence, anti-Zionist findings in favor of maintaining its relationships with the Britain and France.</w:t>
      </w:r>
      <w:r>
        <w:rPr>
          <w:rStyle w:val="FootnoteReference"/>
          <w:rFonts w:ascii="Garamond" w:hAnsi="Garamond"/>
          <w:color w:val="000000" w:themeColor="text1"/>
        </w:rPr>
        <w:footnoteReference w:id="67"/>
      </w:r>
      <w:r w:rsidRPr="001B1C7A">
        <w:rPr>
          <w:rFonts w:ascii="Garamond" w:hAnsi="Garamond"/>
          <w:color w:val="000000" w:themeColor="text1"/>
        </w:rPr>
        <w:t xml:space="preserve"> Patrick’s argument supports James Gelvin’s conclusion that the </w:t>
      </w:r>
      <w:r w:rsidR="00C6532D">
        <w:rPr>
          <w:rFonts w:ascii="Garamond" w:hAnsi="Garamond"/>
          <w:color w:val="000000" w:themeColor="text1"/>
        </w:rPr>
        <w:t>K.C.C.</w:t>
      </w:r>
      <w:r w:rsidRPr="001B1C7A">
        <w:rPr>
          <w:rFonts w:ascii="Garamond" w:hAnsi="Garamond"/>
          <w:color w:val="000000" w:themeColor="text1"/>
        </w:rPr>
        <w:t xml:space="preserve">’s </w:t>
      </w:r>
      <w:r w:rsidR="00282FDB">
        <w:rPr>
          <w:rFonts w:ascii="Garamond" w:hAnsi="Garamond"/>
          <w:color w:val="000000" w:themeColor="text1"/>
        </w:rPr>
        <w:t>image</w:t>
      </w:r>
      <w:r w:rsidR="00282FDB" w:rsidRPr="001B1C7A">
        <w:rPr>
          <w:rFonts w:ascii="Garamond" w:hAnsi="Garamond"/>
          <w:color w:val="000000" w:themeColor="text1"/>
        </w:rPr>
        <w:t xml:space="preserve"> </w:t>
      </w:r>
      <w:r w:rsidRPr="001B1C7A">
        <w:rPr>
          <w:rFonts w:ascii="Garamond" w:hAnsi="Garamond"/>
          <w:color w:val="000000" w:themeColor="text1"/>
        </w:rPr>
        <w:t xml:space="preserve">could have been responsible for catalyzing Syrian nationalism in the early 1920s. Both historians </w:t>
      </w:r>
      <w:r w:rsidR="00085392">
        <w:rPr>
          <w:rFonts w:ascii="Garamond" w:hAnsi="Garamond"/>
          <w:color w:val="000000" w:themeColor="text1"/>
        </w:rPr>
        <w:t xml:space="preserve">also </w:t>
      </w:r>
      <w:r w:rsidRPr="001B1C7A">
        <w:rPr>
          <w:rFonts w:ascii="Garamond" w:hAnsi="Garamond"/>
          <w:color w:val="000000" w:themeColor="text1"/>
        </w:rPr>
        <w:t xml:space="preserve">show how the </w:t>
      </w:r>
      <w:r w:rsidR="00C6532D">
        <w:rPr>
          <w:rFonts w:ascii="Garamond" w:hAnsi="Garamond"/>
          <w:color w:val="000000" w:themeColor="text1"/>
        </w:rPr>
        <w:t>K.C.C.</w:t>
      </w:r>
      <w:r w:rsidRPr="001B1C7A">
        <w:rPr>
          <w:rFonts w:ascii="Garamond" w:hAnsi="Garamond"/>
          <w:color w:val="000000" w:themeColor="text1"/>
        </w:rPr>
        <w:t xml:space="preserve"> highlights the difference between Wilsonian ideals and American foreign policy in Greater Syria. </w:t>
      </w:r>
    </w:p>
    <w:p w14:paraId="4B136BF5" w14:textId="5B560606" w:rsidR="0030323A" w:rsidRPr="001B1C7A" w:rsidRDefault="0030323A" w:rsidP="0030323A">
      <w:pPr>
        <w:spacing w:line="480" w:lineRule="auto"/>
        <w:ind w:firstLine="720"/>
        <w:rPr>
          <w:rFonts w:ascii="Garamond" w:hAnsi="Garamond"/>
          <w:color w:val="000000" w:themeColor="text1"/>
          <w:highlight w:val="red"/>
        </w:rPr>
      </w:pPr>
      <w:r w:rsidRPr="001B1C7A">
        <w:rPr>
          <w:rFonts w:ascii="Garamond" w:hAnsi="Garamond"/>
          <w:color w:val="000000" w:themeColor="text1"/>
        </w:rPr>
        <w:t xml:space="preserve">The </w:t>
      </w:r>
      <w:r w:rsidR="00C6532D">
        <w:rPr>
          <w:rFonts w:ascii="Garamond" w:hAnsi="Garamond"/>
          <w:color w:val="000000" w:themeColor="text1"/>
        </w:rPr>
        <w:t>K.C.C.</w:t>
      </w:r>
      <w:r w:rsidRPr="001B1C7A">
        <w:rPr>
          <w:rFonts w:ascii="Garamond" w:hAnsi="Garamond"/>
          <w:color w:val="000000" w:themeColor="text1"/>
        </w:rPr>
        <w:t xml:space="preserve"> represented the first U.S. interaction with the Middle East immediately after World War I. The U.S, meanwhile, was experiencing an oil scare driven by rising demand for oil at </w:t>
      </w:r>
      <w:r w:rsidRPr="001B1C7A">
        <w:rPr>
          <w:rFonts w:ascii="Garamond" w:hAnsi="Garamond"/>
          <w:color w:val="000000" w:themeColor="text1"/>
        </w:rPr>
        <w:lastRenderedPageBreak/>
        <w:t xml:space="preserve">home and the U.S. Navy’s dependence on petroleum, noted </w:t>
      </w:r>
      <w:r w:rsidR="00B52A72">
        <w:rPr>
          <w:rFonts w:ascii="Garamond" w:hAnsi="Garamond"/>
          <w:color w:val="000000" w:themeColor="text1"/>
        </w:rPr>
        <w:t xml:space="preserve">by </w:t>
      </w:r>
      <w:r w:rsidRPr="001B1C7A">
        <w:rPr>
          <w:rFonts w:ascii="Garamond" w:hAnsi="Garamond"/>
          <w:color w:val="000000" w:themeColor="text1"/>
        </w:rPr>
        <w:t xml:space="preserve">both Joan H. Wilson in </w:t>
      </w:r>
      <w:r w:rsidRPr="001B1C7A">
        <w:rPr>
          <w:rFonts w:ascii="Garamond" w:hAnsi="Garamond"/>
          <w:i/>
          <w:iCs/>
          <w:color w:val="000000" w:themeColor="text1"/>
        </w:rPr>
        <w:t xml:space="preserve">American Business and Foreign Policy </w:t>
      </w:r>
      <w:r w:rsidRPr="001B1C7A">
        <w:rPr>
          <w:rFonts w:ascii="Garamond" w:hAnsi="Garamond"/>
          <w:color w:val="000000" w:themeColor="text1"/>
        </w:rPr>
        <w:t>and David Painter</w:t>
      </w:r>
      <w:r w:rsidR="00B52A72">
        <w:rPr>
          <w:rFonts w:ascii="Garamond" w:hAnsi="Garamond"/>
          <w:color w:val="000000" w:themeColor="text1"/>
        </w:rPr>
        <w:t xml:space="preserve"> in </w:t>
      </w:r>
      <w:r w:rsidR="00B52A72">
        <w:rPr>
          <w:rFonts w:ascii="Garamond" w:hAnsi="Garamond"/>
          <w:i/>
          <w:iCs/>
          <w:color w:val="000000" w:themeColor="text1"/>
        </w:rPr>
        <w:t>Oil and the American Century</w:t>
      </w:r>
      <w:r w:rsidRPr="001B1C7A">
        <w:rPr>
          <w:rFonts w:ascii="Garamond" w:hAnsi="Garamond"/>
          <w:color w:val="000000" w:themeColor="text1"/>
        </w:rPr>
        <w:t>.</w:t>
      </w:r>
      <w:r>
        <w:rPr>
          <w:rStyle w:val="FootnoteReference"/>
          <w:rFonts w:ascii="Garamond" w:hAnsi="Garamond"/>
          <w:color w:val="000000" w:themeColor="text1"/>
        </w:rPr>
        <w:footnoteReference w:id="68"/>
      </w:r>
      <w:r w:rsidRPr="001B1C7A">
        <w:rPr>
          <w:rFonts w:ascii="Garamond" w:hAnsi="Garamond"/>
          <w:color w:val="000000" w:themeColor="text1"/>
        </w:rPr>
        <w:t xml:space="preserve"> Some members of the </w:t>
      </w:r>
      <w:r w:rsidR="00C6532D">
        <w:rPr>
          <w:rFonts w:ascii="Garamond" w:hAnsi="Garamond"/>
          <w:color w:val="000000" w:themeColor="text1"/>
        </w:rPr>
        <w:t>K.C.C.</w:t>
      </w:r>
      <w:r w:rsidR="00B52A72">
        <w:rPr>
          <w:rFonts w:ascii="Garamond" w:hAnsi="Garamond"/>
          <w:color w:val="000000" w:themeColor="text1"/>
        </w:rPr>
        <w:t xml:space="preserve">, like Yale, </w:t>
      </w:r>
      <w:r w:rsidRPr="001B1C7A">
        <w:rPr>
          <w:rFonts w:ascii="Garamond" w:hAnsi="Garamond"/>
          <w:color w:val="000000" w:themeColor="text1"/>
        </w:rPr>
        <w:t>had anticipated European powers</w:t>
      </w:r>
      <w:r w:rsidR="00A40428">
        <w:rPr>
          <w:rFonts w:ascii="Garamond" w:hAnsi="Garamond"/>
          <w:color w:val="000000" w:themeColor="text1"/>
        </w:rPr>
        <w:t>’</w:t>
      </w:r>
      <w:r w:rsidRPr="001B1C7A">
        <w:rPr>
          <w:rFonts w:ascii="Garamond" w:hAnsi="Garamond"/>
          <w:color w:val="000000" w:themeColor="text1"/>
        </w:rPr>
        <w:t xml:space="preserve"> abus</w:t>
      </w:r>
      <w:r w:rsidR="006948FA">
        <w:rPr>
          <w:rFonts w:ascii="Garamond" w:hAnsi="Garamond"/>
          <w:color w:val="000000" w:themeColor="text1"/>
        </w:rPr>
        <w:t>e of</w:t>
      </w:r>
      <w:r w:rsidRPr="001B1C7A">
        <w:rPr>
          <w:rFonts w:ascii="Garamond" w:hAnsi="Garamond"/>
          <w:color w:val="000000" w:themeColor="text1"/>
        </w:rPr>
        <w:t xml:space="preserve"> the mandate system to secure oil concessions. Their thinking aligned with the consternation of American diplomats and businessmen concerning British exclusionary oil practices, as historian</w:t>
      </w:r>
      <w:r>
        <w:rPr>
          <w:rFonts w:ascii="Garamond" w:hAnsi="Garamond"/>
          <w:color w:val="000000" w:themeColor="text1"/>
        </w:rPr>
        <w:t>s</w:t>
      </w:r>
      <w:r w:rsidRPr="001B1C7A">
        <w:rPr>
          <w:rFonts w:ascii="Garamond" w:hAnsi="Garamond"/>
          <w:color w:val="000000" w:themeColor="text1"/>
        </w:rPr>
        <w:t xml:space="preserve"> Emily Rosenberg </w:t>
      </w:r>
      <w:r>
        <w:rPr>
          <w:rFonts w:ascii="Garamond" w:hAnsi="Garamond"/>
          <w:color w:val="000000" w:themeColor="text1"/>
        </w:rPr>
        <w:t xml:space="preserve">and John DeNovo </w:t>
      </w:r>
      <w:r w:rsidRPr="001B1C7A">
        <w:rPr>
          <w:rFonts w:ascii="Garamond" w:hAnsi="Garamond"/>
          <w:color w:val="000000" w:themeColor="text1"/>
        </w:rPr>
        <w:t>ha</w:t>
      </w:r>
      <w:r>
        <w:rPr>
          <w:rFonts w:ascii="Garamond" w:hAnsi="Garamond"/>
          <w:color w:val="000000" w:themeColor="text1"/>
        </w:rPr>
        <w:t>ve</w:t>
      </w:r>
      <w:r w:rsidRPr="001B1C7A">
        <w:rPr>
          <w:rFonts w:ascii="Garamond" w:hAnsi="Garamond"/>
          <w:color w:val="000000" w:themeColor="text1"/>
        </w:rPr>
        <w:t xml:space="preserve"> argued.</w:t>
      </w:r>
      <w:r>
        <w:rPr>
          <w:rStyle w:val="FootnoteReference"/>
          <w:rFonts w:ascii="Garamond" w:hAnsi="Garamond"/>
          <w:color w:val="000000" w:themeColor="text1"/>
        </w:rPr>
        <w:footnoteReference w:id="69"/>
      </w:r>
      <w:r w:rsidRPr="001B1C7A">
        <w:rPr>
          <w:rFonts w:ascii="Garamond" w:hAnsi="Garamond"/>
          <w:color w:val="000000" w:themeColor="text1"/>
        </w:rPr>
        <w:t xml:space="preserve"> </w:t>
      </w:r>
      <w:r w:rsidR="00A40428">
        <w:rPr>
          <w:rFonts w:ascii="Garamond" w:hAnsi="Garamond"/>
          <w:color w:val="000000" w:themeColor="text1"/>
        </w:rPr>
        <w:t>This paper</w:t>
      </w:r>
      <w:r w:rsidRPr="001B1C7A">
        <w:rPr>
          <w:rFonts w:ascii="Garamond" w:hAnsi="Garamond"/>
          <w:color w:val="000000" w:themeColor="text1"/>
        </w:rPr>
        <w:t xml:space="preserve"> </w:t>
      </w:r>
      <w:r w:rsidR="00A40428">
        <w:rPr>
          <w:rFonts w:ascii="Garamond" w:hAnsi="Garamond"/>
          <w:color w:val="000000" w:themeColor="text1"/>
        </w:rPr>
        <w:t>will examine</w:t>
      </w:r>
      <w:r w:rsidRPr="001B1C7A">
        <w:rPr>
          <w:rFonts w:ascii="Garamond" w:hAnsi="Garamond"/>
          <w:color w:val="000000" w:themeColor="text1"/>
        </w:rPr>
        <w:t xml:space="preserve"> the </w:t>
      </w:r>
      <w:r w:rsidR="00C6532D">
        <w:rPr>
          <w:rFonts w:ascii="Garamond" w:hAnsi="Garamond"/>
          <w:color w:val="000000" w:themeColor="text1"/>
        </w:rPr>
        <w:t>K.C.C.</w:t>
      </w:r>
      <w:r w:rsidRPr="001B1C7A">
        <w:rPr>
          <w:rFonts w:ascii="Garamond" w:hAnsi="Garamond"/>
          <w:color w:val="000000" w:themeColor="text1"/>
        </w:rPr>
        <w:t>’s internal discussions of oil and the way tha</w:t>
      </w:r>
      <w:r w:rsidR="00A40428">
        <w:rPr>
          <w:rFonts w:ascii="Garamond" w:hAnsi="Garamond"/>
          <w:color w:val="000000" w:themeColor="text1"/>
        </w:rPr>
        <w:t>t others could have plied the K.C.C. to</w:t>
      </w:r>
      <w:r w:rsidRPr="001B1C7A">
        <w:rPr>
          <w:rFonts w:ascii="Garamond" w:hAnsi="Garamond"/>
          <w:color w:val="000000" w:themeColor="text1"/>
        </w:rPr>
        <w:t xml:space="preserve"> promote heightened attention to oil in the Middle</w:t>
      </w:r>
      <w:r w:rsidR="00A40428">
        <w:rPr>
          <w:rFonts w:ascii="Garamond" w:hAnsi="Garamond"/>
          <w:color w:val="000000" w:themeColor="text1"/>
        </w:rPr>
        <w:t xml:space="preserve"> East</w:t>
      </w:r>
      <w:r w:rsidRPr="001B1C7A">
        <w:rPr>
          <w:rFonts w:ascii="Garamond" w:hAnsi="Garamond"/>
          <w:color w:val="000000" w:themeColor="text1"/>
        </w:rPr>
        <w:t xml:space="preserve">. </w:t>
      </w:r>
    </w:p>
    <w:p w14:paraId="432165A7" w14:textId="0E31F01F" w:rsidR="0030323A" w:rsidRDefault="0030323A" w:rsidP="0030323A">
      <w:pPr>
        <w:pStyle w:val="Heading2"/>
        <w:numPr>
          <w:ilvl w:val="0"/>
          <w:numId w:val="33"/>
        </w:numPr>
        <w:rPr>
          <w:rFonts w:ascii="Garamond" w:hAnsi="Garamond"/>
          <w:color w:val="000000" w:themeColor="text1"/>
        </w:rPr>
      </w:pPr>
      <w:bookmarkStart w:id="20" w:name="_Toc66731784"/>
      <w:r w:rsidRPr="00E92768">
        <w:rPr>
          <w:rFonts w:ascii="Garamond" w:hAnsi="Garamond"/>
          <w:color w:val="000000" w:themeColor="text1"/>
        </w:rPr>
        <w:t xml:space="preserve">The </w:t>
      </w:r>
      <w:r w:rsidR="00C6532D">
        <w:rPr>
          <w:rFonts w:ascii="Garamond" w:hAnsi="Garamond"/>
          <w:color w:val="000000" w:themeColor="text1"/>
        </w:rPr>
        <w:t>K.C.C.</w:t>
      </w:r>
      <w:bookmarkEnd w:id="20"/>
      <w:r w:rsidRPr="00E92768">
        <w:rPr>
          <w:rFonts w:ascii="Garamond" w:hAnsi="Garamond"/>
          <w:color w:val="000000" w:themeColor="text1"/>
        </w:rPr>
        <w:t xml:space="preserve"> </w:t>
      </w:r>
    </w:p>
    <w:p w14:paraId="734594BA" w14:textId="77777777" w:rsidR="0030323A" w:rsidRPr="00E92768" w:rsidRDefault="0030323A" w:rsidP="0030323A"/>
    <w:p w14:paraId="53B28F51" w14:textId="43A545EE" w:rsidR="0030323A" w:rsidRPr="001B1C7A" w:rsidRDefault="0030323A" w:rsidP="00680558">
      <w:pPr>
        <w:spacing w:line="480" w:lineRule="auto"/>
        <w:ind w:firstLine="720"/>
        <w:rPr>
          <w:rFonts w:ascii="Garamond" w:hAnsi="Garamond"/>
          <w:color w:val="000000" w:themeColor="text1"/>
        </w:rPr>
      </w:pPr>
      <w:r w:rsidRPr="001B1C7A">
        <w:rPr>
          <w:rFonts w:ascii="Garamond" w:hAnsi="Garamond"/>
          <w:color w:val="000000" w:themeColor="text1"/>
        </w:rPr>
        <w:t xml:space="preserve">Patrick’s book concerning the </w:t>
      </w:r>
      <w:r w:rsidR="00C6532D">
        <w:rPr>
          <w:rFonts w:ascii="Garamond" w:hAnsi="Garamond"/>
          <w:color w:val="000000" w:themeColor="text1"/>
        </w:rPr>
        <w:t>K.C.C.</w:t>
      </w:r>
      <w:r w:rsidRPr="001B1C7A">
        <w:rPr>
          <w:rFonts w:ascii="Garamond" w:hAnsi="Garamond"/>
          <w:color w:val="000000" w:themeColor="text1"/>
        </w:rPr>
        <w:t xml:space="preserve"> is the second on the topic, coming </w:t>
      </w:r>
      <w:r w:rsidR="006948FA">
        <w:rPr>
          <w:rFonts w:ascii="Garamond" w:hAnsi="Garamond"/>
          <w:color w:val="000000" w:themeColor="text1"/>
        </w:rPr>
        <w:t>over a half century</w:t>
      </w:r>
      <w:r w:rsidRPr="001B1C7A">
        <w:rPr>
          <w:rFonts w:ascii="Garamond" w:hAnsi="Garamond"/>
          <w:color w:val="000000" w:themeColor="text1"/>
        </w:rPr>
        <w:t xml:space="preserve"> </w:t>
      </w:r>
      <w:r w:rsidR="006948FA">
        <w:rPr>
          <w:rFonts w:ascii="Garamond" w:hAnsi="Garamond"/>
          <w:color w:val="000000" w:themeColor="text1"/>
        </w:rPr>
        <w:t>since</w:t>
      </w:r>
      <w:r w:rsidRPr="001B1C7A">
        <w:rPr>
          <w:rFonts w:ascii="Garamond" w:hAnsi="Garamond"/>
          <w:color w:val="000000" w:themeColor="text1"/>
        </w:rPr>
        <w:t xml:space="preserve"> Harry N. Howard wrote the first in 1963.</w:t>
      </w:r>
      <w:r w:rsidR="007C16E9">
        <w:rPr>
          <w:rStyle w:val="FootnoteReference"/>
          <w:rFonts w:ascii="Garamond" w:hAnsi="Garamond"/>
          <w:color w:val="000000" w:themeColor="text1"/>
        </w:rPr>
        <w:footnoteReference w:id="70"/>
      </w:r>
      <w:r w:rsidRPr="001B1C7A">
        <w:rPr>
          <w:rFonts w:ascii="Garamond" w:hAnsi="Garamond"/>
          <w:color w:val="000000" w:themeColor="text1"/>
        </w:rPr>
        <w:t xml:space="preserve"> Howard’s study surveyed the </w:t>
      </w:r>
      <w:r w:rsidR="00C6532D">
        <w:rPr>
          <w:rFonts w:ascii="Garamond" w:hAnsi="Garamond"/>
          <w:color w:val="000000" w:themeColor="text1"/>
        </w:rPr>
        <w:t>K.C.C.</w:t>
      </w:r>
      <w:r w:rsidRPr="001B1C7A">
        <w:rPr>
          <w:rFonts w:ascii="Garamond" w:hAnsi="Garamond"/>
          <w:color w:val="000000" w:themeColor="text1"/>
        </w:rPr>
        <w:t xml:space="preserve">, yet Patrick’s work drew on more contemporary archival material. Notably, Patrick accounts for how the experts’ attitudes influenced the </w:t>
      </w:r>
      <w:r w:rsidR="00C6532D">
        <w:rPr>
          <w:rFonts w:ascii="Garamond" w:hAnsi="Garamond"/>
          <w:color w:val="000000" w:themeColor="text1"/>
        </w:rPr>
        <w:t>K.C.C.</w:t>
      </w:r>
      <w:r w:rsidRPr="001B1C7A">
        <w:rPr>
          <w:rFonts w:ascii="Garamond" w:hAnsi="Garamond"/>
          <w:color w:val="000000" w:themeColor="text1"/>
        </w:rPr>
        <w:t xml:space="preserve">, dispels works that have used the </w:t>
      </w:r>
      <w:r w:rsidR="00C6532D">
        <w:rPr>
          <w:rFonts w:ascii="Garamond" w:hAnsi="Garamond"/>
          <w:color w:val="000000" w:themeColor="text1"/>
        </w:rPr>
        <w:t>K.C.C.</w:t>
      </w:r>
      <w:r w:rsidRPr="001B1C7A">
        <w:rPr>
          <w:rFonts w:ascii="Garamond" w:hAnsi="Garamond"/>
          <w:color w:val="000000" w:themeColor="text1"/>
        </w:rPr>
        <w:t xml:space="preserve"> as a political prop, and analyzes how the </w:t>
      </w:r>
      <w:r w:rsidR="00C6532D">
        <w:rPr>
          <w:rFonts w:ascii="Garamond" w:hAnsi="Garamond"/>
          <w:color w:val="000000" w:themeColor="text1"/>
        </w:rPr>
        <w:t>K.C.C.</w:t>
      </w:r>
      <w:r w:rsidRPr="001B1C7A">
        <w:rPr>
          <w:rFonts w:ascii="Garamond" w:hAnsi="Garamond"/>
          <w:color w:val="000000" w:themeColor="text1"/>
        </w:rPr>
        <w:t xml:space="preserve"> interacted with the Paris Peace Conference. However, he does not </w:t>
      </w:r>
      <w:r w:rsidR="00A40428">
        <w:rPr>
          <w:rFonts w:ascii="Garamond" w:hAnsi="Garamond"/>
          <w:color w:val="000000" w:themeColor="text1"/>
        </w:rPr>
        <w:t>much</w:t>
      </w:r>
      <w:r w:rsidR="00D70250" w:rsidRPr="001B1C7A">
        <w:rPr>
          <w:rFonts w:ascii="Garamond" w:hAnsi="Garamond"/>
          <w:color w:val="000000" w:themeColor="text1"/>
        </w:rPr>
        <w:t xml:space="preserve"> </w:t>
      </w:r>
      <w:r w:rsidRPr="001B1C7A">
        <w:rPr>
          <w:rFonts w:ascii="Garamond" w:hAnsi="Garamond"/>
          <w:color w:val="000000" w:themeColor="text1"/>
        </w:rPr>
        <w:t xml:space="preserve">discuss the competitive context for </w:t>
      </w:r>
      <w:r w:rsidR="00B52A72">
        <w:rPr>
          <w:rFonts w:ascii="Garamond" w:hAnsi="Garamond"/>
          <w:color w:val="000000" w:themeColor="text1"/>
        </w:rPr>
        <w:t>oil</w:t>
      </w:r>
      <w:r w:rsidRPr="001B1C7A">
        <w:rPr>
          <w:rFonts w:ascii="Garamond" w:hAnsi="Garamond"/>
          <w:color w:val="000000" w:themeColor="text1"/>
        </w:rPr>
        <w:t xml:space="preserve"> in which the </w:t>
      </w:r>
      <w:r w:rsidR="00C6532D">
        <w:rPr>
          <w:rFonts w:ascii="Garamond" w:hAnsi="Garamond"/>
          <w:color w:val="000000" w:themeColor="text1"/>
        </w:rPr>
        <w:t>K.C.C.</w:t>
      </w:r>
      <w:r w:rsidRPr="001B1C7A">
        <w:rPr>
          <w:rFonts w:ascii="Garamond" w:hAnsi="Garamond"/>
          <w:color w:val="000000" w:themeColor="text1"/>
        </w:rPr>
        <w:t xml:space="preserve"> operated.  </w:t>
      </w:r>
    </w:p>
    <w:p w14:paraId="0430FBBC" w14:textId="272B4112"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Patrick exemplifies Manela’s argument about divergences between Wilsonian rhetoric and American foreign policy, showing that the </w:t>
      </w:r>
      <w:r w:rsidR="00C6532D">
        <w:rPr>
          <w:rFonts w:ascii="Garamond" w:hAnsi="Garamond"/>
          <w:color w:val="000000" w:themeColor="text1"/>
        </w:rPr>
        <w:t>K.C.C.</w:t>
      </w:r>
      <w:r w:rsidRPr="001B1C7A">
        <w:rPr>
          <w:rFonts w:ascii="Garamond" w:hAnsi="Garamond"/>
          <w:color w:val="000000" w:themeColor="text1"/>
        </w:rPr>
        <w:t xml:space="preserve"> knew geopolitics “would subsume any recommendations of independence</w:t>
      </w:r>
      <w:r>
        <w:rPr>
          <w:rFonts w:ascii="Garamond" w:hAnsi="Garamond"/>
          <w:color w:val="000000" w:themeColor="text1"/>
        </w:rPr>
        <w:t>.</w:t>
      </w:r>
      <w:r w:rsidRPr="001B1C7A">
        <w:rPr>
          <w:rFonts w:ascii="Garamond" w:hAnsi="Garamond"/>
          <w:color w:val="000000" w:themeColor="text1"/>
        </w:rPr>
        <w:t>”</w:t>
      </w:r>
      <w:r>
        <w:rPr>
          <w:rStyle w:val="FootnoteReference"/>
          <w:rFonts w:ascii="Garamond" w:hAnsi="Garamond"/>
          <w:color w:val="000000" w:themeColor="text1"/>
        </w:rPr>
        <w:footnoteReference w:id="71"/>
      </w:r>
      <w:r w:rsidRPr="001B1C7A">
        <w:rPr>
          <w:rFonts w:ascii="Garamond" w:hAnsi="Garamond"/>
          <w:color w:val="000000" w:themeColor="text1"/>
        </w:rPr>
        <w:t xml:space="preserve"> In </w:t>
      </w:r>
      <w:r w:rsidRPr="001B1C7A">
        <w:rPr>
          <w:rFonts w:ascii="Garamond" w:hAnsi="Garamond"/>
          <w:i/>
          <w:iCs/>
          <w:color w:val="000000" w:themeColor="text1"/>
        </w:rPr>
        <w:t xml:space="preserve">Oil and Empire, </w:t>
      </w:r>
      <w:r w:rsidRPr="001B1C7A">
        <w:rPr>
          <w:rFonts w:ascii="Garamond" w:hAnsi="Garamond"/>
          <w:color w:val="000000" w:themeColor="text1"/>
        </w:rPr>
        <w:t xml:space="preserve">Marian Kent </w:t>
      </w:r>
      <w:r w:rsidR="00914E7C">
        <w:rPr>
          <w:rFonts w:ascii="Garamond" w:hAnsi="Garamond"/>
          <w:color w:val="000000" w:themeColor="text1"/>
        </w:rPr>
        <w:t>chronicles</w:t>
      </w:r>
      <w:r w:rsidR="00914E7C" w:rsidRPr="001B1C7A">
        <w:rPr>
          <w:rFonts w:ascii="Garamond" w:hAnsi="Garamond"/>
          <w:color w:val="000000" w:themeColor="text1"/>
        </w:rPr>
        <w:t xml:space="preserve"> </w:t>
      </w:r>
      <w:r w:rsidRPr="001B1C7A">
        <w:rPr>
          <w:rFonts w:ascii="Garamond" w:hAnsi="Garamond"/>
          <w:color w:val="000000" w:themeColor="text1"/>
        </w:rPr>
        <w:t xml:space="preserve">these </w:t>
      </w:r>
      <w:r w:rsidR="00B52A72">
        <w:rPr>
          <w:rFonts w:ascii="Garamond" w:hAnsi="Garamond"/>
          <w:color w:val="000000" w:themeColor="text1"/>
        </w:rPr>
        <w:t>energy politics</w:t>
      </w:r>
      <w:r w:rsidR="00DA5FC5">
        <w:rPr>
          <w:rFonts w:ascii="Garamond" w:hAnsi="Garamond"/>
          <w:color w:val="000000" w:themeColor="text1"/>
        </w:rPr>
        <w:t xml:space="preserve">; </w:t>
      </w:r>
      <w:r w:rsidRPr="001B1C7A">
        <w:rPr>
          <w:rFonts w:ascii="Garamond" w:hAnsi="Garamond"/>
          <w:color w:val="000000" w:themeColor="text1"/>
        </w:rPr>
        <w:t xml:space="preserve">Peter Sluglett </w:t>
      </w:r>
      <w:r w:rsidR="00DA5FC5">
        <w:rPr>
          <w:rFonts w:ascii="Garamond" w:hAnsi="Garamond"/>
          <w:color w:val="000000" w:themeColor="text1"/>
        </w:rPr>
        <w:t xml:space="preserve">also </w:t>
      </w:r>
      <w:r w:rsidRPr="001B1C7A">
        <w:rPr>
          <w:rFonts w:ascii="Garamond" w:hAnsi="Garamond"/>
          <w:color w:val="000000" w:themeColor="text1"/>
        </w:rPr>
        <w:t>discusses Standard Oil and the U.S.’s consternation over interdiction from</w:t>
      </w:r>
      <w:r w:rsidR="0043571C">
        <w:rPr>
          <w:rFonts w:ascii="Garamond" w:hAnsi="Garamond"/>
          <w:color w:val="000000" w:themeColor="text1"/>
        </w:rPr>
        <w:t xml:space="preserve"> </w:t>
      </w:r>
      <w:r w:rsidRPr="001B1C7A">
        <w:rPr>
          <w:rFonts w:ascii="Garamond" w:hAnsi="Garamond"/>
          <w:color w:val="000000" w:themeColor="text1"/>
        </w:rPr>
        <w:t>oil</w:t>
      </w:r>
      <w:r w:rsidR="0043571C">
        <w:rPr>
          <w:rFonts w:ascii="Garamond" w:hAnsi="Garamond"/>
          <w:color w:val="000000" w:themeColor="text1"/>
        </w:rPr>
        <w:t xml:space="preserve"> rich areas in the Middle East</w:t>
      </w:r>
      <w:r w:rsidRPr="001B1C7A">
        <w:rPr>
          <w:rFonts w:ascii="Garamond" w:hAnsi="Garamond"/>
          <w:color w:val="000000" w:themeColor="text1"/>
        </w:rPr>
        <w:t>.</w:t>
      </w:r>
      <w:r>
        <w:rPr>
          <w:rStyle w:val="FootnoteReference"/>
          <w:rFonts w:ascii="Garamond" w:hAnsi="Garamond"/>
          <w:color w:val="000000" w:themeColor="text1"/>
        </w:rPr>
        <w:footnoteReference w:id="72"/>
      </w:r>
      <w:r>
        <w:rPr>
          <w:rFonts w:ascii="Garamond" w:hAnsi="Garamond"/>
          <w:color w:val="000000" w:themeColor="text1"/>
        </w:rPr>
        <w:t xml:space="preserve"> In </w:t>
      </w:r>
      <w:r w:rsidRPr="001B1C7A">
        <w:rPr>
          <w:rFonts w:ascii="Garamond" w:hAnsi="Garamond"/>
          <w:i/>
          <w:iCs/>
          <w:color w:val="000000" w:themeColor="text1"/>
        </w:rPr>
        <w:t xml:space="preserve">Spreading the American Dream, </w:t>
      </w:r>
      <w:r w:rsidRPr="001B1C7A">
        <w:rPr>
          <w:rFonts w:ascii="Garamond" w:hAnsi="Garamond"/>
          <w:color w:val="000000" w:themeColor="text1"/>
        </w:rPr>
        <w:t>Rosenberg then establishes that private interests, like Standard Oil, “tended to shape America’s role in the world</w:t>
      </w:r>
      <w:r>
        <w:rPr>
          <w:rFonts w:ascii="Garamond" w:hAnsi="Garamond"/>
          <w:color w:val="000000" w:themeColor="text1"/>
        </w:rPr>
        <w:t>.</w:t>
      </w:r>
      <w:r w:rsidRPr="001B1C7A">
        <w:rPr>
          <w:rFonts w:ascii="Garamond" w:hAnsi="Garamond"/>
          <w:color w:val="000000" w:themeColor="text1"/>
        </w:rPr>
        <w:t>”</w:t>
      </w:r>
      <w:r>
        <w:rPr>
          <w:rStyle w:val="FootnoteReference"/>
          <w:rFonts w:ascii="Garamond" w:hAnsi="Garamond"/>
          <w:color w:val="000000" w:themeColor="text1"/>
        </w:rPr>
        <w:footnoteReference w:id="73"/>
      </w:r>
      <w:r w:rsidRPr="001B1C7A">
        <w:rPr>
          <w:rFonts w:ascii="Garamond" w:hAnsi="Garamond"/>
          <w:color w:val="000000" w:themeColor="text1"/>
        </w:rPr>
        <w:t xml:space="preserve"> Although </w:t>
      </w:r>
      <w:r w:rsidRPr="001B1C7A">
        <w:rPr>
          <w:rFonts w:ascii="Garamond" w:hAnsi="Garamond"/>
          <w:color w:val="000000" w:themeColor="text1"/>
        </w:rPr>
        <w:lastRenderedPageBreak/>
        <w:t>Patrick mentions “the impending battle for oil rights in the region</w:t>
      </w:r>
      <w:r w:rsidR="007C16E9">
        <w:rPr>
          <w:rFonts w:ascii="Garamond" w:hAnsi="Garamond"/>
          <w:color w:val="000000" w:themeColor="text1"/>
        </w:rPr>
        <w:t>,</w:t>
      </w:r>
      <w:r w:rsidRPr="001B1C7A">
        <w:rPr>
          <w:rFonts w:ascii="Garamond" w:hAnsi="Garamond"/>
          <w:color w:val="000000" w:themeColor="text1"/>
        </w:rPr>
        <w:t>” reifying the interaction between private interests and U.S. government discussed by Sluglett</w:t>
      </w:r>
      <w:r>
        <w:rPr>
          <w:rFonts w:ascii="Garamond" w:hAnsi="Garamond"/>
          <w:color w:val="000000" w:themeColor="text1"/>
        </w:rPr>
        <w:t xml:space="preserve">, </w:t>
      </w:r>
      <w:r w:rsidRPr="001B1C7A">
        <w:rPr>
          <w:rFonts w:ascii="Garamond" w:hAnsi="Garamond"/>
          <w:color w:val="000000" w:themeColor="text1"/>
        </w:rPr>
        <w:t>Rosenberg,</w:t>
      </w:r>
      <w:r>
        <w:rPr>
          <w:rFonts w:ascii="Garamond" w:hAnsi="Garamond"/>
          <w:color w:val="000000" w:themeColor="text1"/>
        </w:rPr>
        <w:t xml:space="preserve"> DeNovo and Stivers,</w:t>
      </w:r>
      <w:r w:rsidRPr="001B1C7A">
        <w:rPr>
          <w:rFonts w:ascii="Garamond" w:hAnsi="Garamond"/>
          <w:color w:val="000000" w:themeColor="text1"/>
        </w:rPr>
        <w:t xml:space="preserve"> he </w:t>
      </w:r>
      <w:r>
        <w:rPr>
          <w:rFonts w:ascii="Garamond" w:hAnsi="Garamond"/>
          <w:color w:val="000000" w:themeColor="text1"/>
        </w:rPr>
        <w:t>only briefly</w:t>
      </w:r>
      <w:r w:rsidRPr="001B1C7A">
        <w:rPr>
          <w:rFonts w:ascii="Garamond" w:hAnsi="Garamond"/>
          <w:color w:val="000000" w:themeColor="text1"/>
        </w:rPr>
        <w:t xml:space="preserve"> touch</w:t>
      </w:r>
      <w:r>
        <w:rPr>
          <w:rFonts w:ascii="Garamond" w:hAnsi="Garamond"/>
          <w:color w:val="000000" w:themeColor="text1"/>
        </w:rPr>
        <w:t>es</w:t>
      </w:r>
      <w:r w:rsidRPr="001B1C7A">
        <w:rPr>
          <w:rFonts w:ascii="Garamond" w:hAnsi="Garamond"/>
          <w:color w:val="000000" w:themeColor="text1"/>
        </w:rPr>
        <w:t xml:space="preserve"> </w:t>
      </w:r>
      <w:r w:rsidR="001E3933" w:rsidRPr="001B1C7A">
        <w:rPr>
          <w:rFonts w:ascii="Garamond" w:hAnsi="Garamond"/>
          <w:color w:val="000000" w:themeColor="text1"/>
        </w:rPr>
        <w:t>on the</w:t>
      </w:r>
      <w:r w:rsidRPr="001B1C7A">
        <w:rPr>
          <w:rFonts w:ascii="Garamond" w:hAnsi="Garamond"/>
          <w:color w:val="000000" w:themeColor="text1"/>
        </w:rPr>
        <w:t xml:space="preserve"> archival pieces that divulge the </w:t>
      </w:r>
      <w:r w:rsidR="00C6532D">
        <w:rPr>
          <w:rFonts w:ascii="Garamond" w:hAnsi="Garamond"/>
          <w:color w:val="000000" w:themeColor="text1"/>
        </w:rPr>
        <w:t>K.C.C.</w:t>
      </w:r>
      <w:r w:rsidRPr="001B1C7A">
        <w:rPr>
          <w:rFonts w:ascii="Garamond" w:hAnsi="Garamond"/>
          <w:color w:val="000000" w:themeColor="text1"/>
        </w:rPr>
        <w:t>’s thoughts on oil</w:t>
      </w:r>
      <w:r>
        <w:rPr>
          <w:rFonts w:ascii="Garamond" w:hAnsi="Garamond"/>
          <w:color w:val="000000" w:themeColor="text1"/>
        </w:rPr>
        <w:t>.</w:t>
      </w:r>
      <w:r>
        <w:rPr>
          <w:rStyle w:val="FootnoteReference"/>
          <w:rFonts w:ascii="Garamond" w:hAnsi="Garamond"/>
          <w:color w:val="000000" w:themeColor="text1"/>
        </w:rPr>
        <w:footnoteReference w:id="74"/>
      </w:r>
    </w:p>
    <w:p w14:paraId="6635FE96" w14:textId="0C5A53DD"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Accounting for how the attitude of the experts influenced the </w:t>
      </w:r>
      <w:r w:rsidR="00C6532D">
        <w:rPr>
          <w:rFonts w:ascii="Garamond" w:hAnsi="Garamond"/>
          <w:color w:val="000000" w:themeColor="text1"/>
        </w:rPr>
        <w:t>K.C.C.</w:t>
      </w:r>
      <w:r w:rsidRPr="001B1C7A">
        <w:rPr>
          <w:rFonts w:ascii="Garamond" w:hAnsi="Garamond"/>
          <w:color w:val="000000" w:themeColor="text1"/>
        </w:rPr>
        <w:t xml:space="preserve"> report, Patrick explains that Henry King, Charles Crane and Alfred Lybyer wanted an “equitable solution for the majority of the people,” while acknowledging that William Yale and George Montgomery “drifted further from Wilsonian ideals</w:t>
      </w:r>
      <w:r w:rsidR="007C16E9">
        <w:rPr>
          <w:rFonts w:ascii="Garamond" w:hAnsi="Garamond"/>
          <w:color w:val="000000" w:themeColor="text1"/>
        </w:rPr>
        <w:t>.</w:t>
      </w:r>
      <w:r w:rsidRPr="001B1C7A">
        <w:rPr>
          <w:rFonts w:ascii="Garamond" w:hAnsi="Garamond"/>
          <w:color w:val="000000" w:themeColor="text1"/>
        </w:rPr>
        <w:t>”</w:t>
      </w:r>
      <w:r w:rsidR="001E3933">
        <w:rPr>
          <w:rStyle w:val="FootnoteReference"/>
          <w:rFonts w:ascii="Garamond" w:hAnsi="Garamond"/>
          <w:color w:val="000000" w:themeColor="text1"/>
        </w:rPr>
        <w:footnoteReference w:id="75"/>
      </w:r>
      <w:r w:rsidRPr="001B1C7A">
        <w:rPr>
          <w:rFonts w:ascii="Garamond" w:hAnsi="Garamond"/>
          <w:color w:val="000000" w:themeColor="text1"/>
        </w:rPr>
        <w:t xml:space="preserve"> Patrick’s analysis of these attitudes aligns with personal archival material from the </w:t>
      </w:r>
      <w:r w:rsidR="00C6532D">
        <w:rPr>
          <w:rFonts w:ascii="Garamond" w:hAnsi="Garamond"/>
          <w:color w:val="000000" w:themeColor="text1"/>
        </w:rPr>
        <w:t>K.C.C.</w:t>
      </w:r>
      <w:r w:rsidRPr="001B1C7A">
        <w:rPr>
          <w:rFonts w:ascii="Garamond" w:hAnsi="Garamond"/>
          <w:color w:val="000000" w:themeColor="text1"/>
        </w:rPr>
        <w:t>’s time in Greater Syria.</w:t>
      </w:r>
      <w:r w:rsidR="00DA5FC5">
        <w:rPr>
          <w:rStyle w:val="FootnoteReference"/>
          <w:rFonts w:ascii="Garamond" w:hAnsi="Garamond"/>
          <w:color w:val="000000" w:themeColor="text1"/>
        </w:rPr>
        <w:footnoteReference w:id="76"/>
      </w:r>
      <w:r w:rsidRPr="001B1C7A">
        <w:rPr>
          <w:rFonts w:ascii="Garamond" w:hAnsi="Garamond"/>
          <w:color w:val="000000" w:themeColor="text1"/>
        </w:rPr>
        <w:t xml:space="preserve"> For instance, Yale’s writings were disposed to imperial conditions, that “there is a liberal movement among Syria Moslems, a movement which under proper guidance may be able to awaken a new spirit”.</w:t>
      </w:r>
      <w:r w:rsidR="001E3933">
        <w:rPr>
          <w:rStyle w:val="FootnoteReference"/>
          <w:rFonts w:ascii="Garamond" w:hAnsi="Garamond"/>
          <w:color w:val="000000" w:themeColor="text1"/>
        </w:rPr>
        <w:footnoteReference w:id="77"/>
      </w:r>
      <w:r w:rsidRPr="001B1C7A">
        <w:rPr>
          <w:rFonts w:ascii="Garamond" w:hAnsi="Garamond"/>
          <w:color w:val="000000" w:themeColor="text1"/>
        </w:rPr>
        <w:t xml:space="preserve"> </w:t>
      </w:r>
      <w:r w:rsidR="00FC05D2">
        <w:rPr>
          <w:rFonts w:ascii="Garamond" w:hAnsi="Garamond"/>
          <w:color w:val="000000" w:themeColor="text1"/>
        </w:rPr>
        <w:t>Yale’s attitude changed later in life; Yale also may have submitted a minority report</w:t>
      </w:r>
      <w:r w:rsidRPr="001B1C7A">
        <w:rPr>
          <w:rFonts w:ascii="Garamond" w:hAnsi="Garamond"/>
          <w:color w:val="000000" w:themeColor="text1"/>
        </w:rPr>
        <w:t>.</w:t>
      </w:r>
      <w:r w:rsidR="009328A2">
        <w:rPr>
          <w:rStyle w:val="FootnoteReference"/>
          <w:rFonts w:ascii="Garamond" w:hAnsi="Garamond"/>
          <w:color w:val="000000" w:themeColor="text1"/>
        </w:rPr>
        <w:footnoteReference w:id="78"/>
      </w:r>
      <w:r w:rsidRPr="001B1C7A">
        <w:rPr>
          <w:rFonts w:ascii="Garamond" w:hAnsi="Garamond"/>
          <w:color w:val="000000" w:themeColor="text1"/>
        </w:rPr>
        <w:t xml:space="preserve"> Yet, while discussing how the backgrounds of experts affected the </w:t>
      </w:r>
      <w:r w:rsidR="00C6532D">
        <w:rPr>
          <w:rFonts w:ascii="Garamond" w:hAnsi="Garamond"/>
          <w:color w:val="000000" w:themeColor="text1"/>
        </w:rPr>
        <w:t>K.C.C.</w:t>
      </w:r>
      <w:r w:rsidRPr="001B1C7A">
        <w:rPr>
          <w:rFonts w:ascii="Garamond" w:hAnsi="Garamond"/>
          <w:color w:val="000000" w:themeColor="text1"/>
        </w:rPr>
        <w:t xml:space="preserve"> report, Patrick </w:t>
      </w:r>
      <w:r w:rsidR="00A40428">
        <w:rPr>
          <w:rFonts w:ascii="Garamond" w:hAnsi="Garamond"/>
          <w:color w:val="000000" w:themeColor="text1"/>
        </w:rPr>
        <w:t>glances over</w:t>
      </w:r>
      <w:r w:rsidRPr="001B1C7A">
        <w:rPr>
          <w:rFonts w:ascii="Garamond" w:hAnsi="Garamond"/>
          <w:color w:val="000000" w:themeColor="text1"/>
        </w:rPr>
        <w:t xml:space="preserve"> Crane and Yale’s interaction with the oil community. </w:t>
      </w:r>
    </w:p>
    <w:p w14:paraId="4074AF89" w14:textId="78AADC9D"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Patrick </w:t>
      </w:r>
      <w:r w:rsidR="001E3933">
        <w:rPr>
          <w:rFonts w:ascii="Garamond" w:hAnsi="Garamond"/>
          <w:color w:val="000000" w:themeColor="text1"/>
        </w:rPr>
        <w:t>does not often</w:t>
      </w:r>
      <w:r w:rsidRPr="001B1C7A">
        <w:rPr>
          <w:rFonts w:ascii="Garamond" w:hAnsi="Garamond"/>
          <w:color w:val="000000" w:themeColor="text1"/>
        </w:rPr>
        <w:t xml:space="preserve"> </w:t>
      </w:r>
      <w:r w:rsidR="001E3933" w:rsidRPr="001B1C7A">
        <w:rPr>
          <w:rFonts w:ascii="Garamond" w:hAnsi="Garamond"/>
          <w:color w:val="000000" w:themeColor="text1"/>
        </w:rPr>
        <w:t>mention</w:t>
      </w:r>
      <w:r w:rsidRPr="001B1C7A">
        <w:rPr>
          <w:rFonts w:ascii="Garamond" w:hAnsi="Garamond"/>
          <w:color w:val="000000" w:themeColor="text1"/>
        </w:rPr>
        <w:t xml:space="preserve"> the documents produced by Yale concerning oil, or how Yale’s work as a Standard Oil engineer could have influenced his </w:t>
      </w:r>
      <w:r w:rsidR="00C6532D">
        <w:rPr>
          <w:rFonts w:ascii="Garamond" w:hAnsi="Garamond"/>
          <w:color w:val="000000" w:themeColor="text1"/>
        </w:rPr>
        <w:t>K.C.C.</w:t>
      </w:r>
      <w:r w:rsidRPr="001B1C7A">
        <w:rPr>
          <w:rFonts w:ascii="Garamond" w:hAnsi="Garamond"/>
          <w:color w:val="000000" w:themeColor="text1"/>
        </w:rPr>
        <w:t xml:space="preserve"> experience. Reading Yale’s memoranda, </w:t>
      </w:r>
      <w:r w:rsidR="001E3933">
        <w:rPr>
          <w:rFonts w:ascii="Garamond" w:hAnsi="Garamond"/>
          <w:color w:val="000000" w:themeColor="text1"/>
        </w:rPr>
        <w:t>one can see</w:t>
      </w:r>
      <w:r w:rsidRPr="001B1C7A">
        <w:rPr>
          <w:rFonts w:ascii="Garamond" w:hAnsi="Garamond"/>
          <w:color w:val="000000" w:themeColor="text1"/>
        </w:rPr>
        <w:t xml:space="preserve"> that his experiences working for Standard Oil markedly affected his geopolitical thinking.</w:t>
      </w:r>
      <w:r>
        <w:rPr>
          <w:rStyle w:val="FootnoteReference"/>
          <w:rFonts w:ascii="Garamond" w:hAnsi="Garamond"/>
          <w:color w:val="000000" w:themeColor="text1"/>
        </w:rPr>
        <w:footnoteReference w:id="79"/>
      </w:r>
      <w:r w:rsidRPr="001B1C7A">
        <w:rPr>
          <w:rFonts w:ascii="Garamond" w:hAnsi="Garamond"/>
          <w:color w:val="000000" w:themeColor="text1"/>
        </w:rPr>
        <w:t xml:space="preserve"> Patrick also </w:t>
      </w:r>
      <w:r w:rsidR="001E3933">
        <w:rPr>
          <w:rFonts w:ascii="Garamond" w:hAnsi="Garamond"/>
          <w:color w:val="000000" w:themeColor="text1"/>
        </w:rPr>
        <w:t xml:space="preserve">does not </w:t>
      </w:r>
      <w:r w:rsidR="00C529B6">
        <w:rPr>
          <w:rFonts w:ascii="Garamond" w:hAnsi="Garamond"/>
          <w:color w:val="000000" w:themeColor="text1"/>
        </w:rPr>
        <w:t xml:space="preserve">deeply delve into </w:t>
      </w:r>
      <w:r w:rsidRPr="001B1C7A">
        <w:rPr>
          <w:rFonts w:ascii="Garamond" w:hAnsi="Garamond"/>
          <w:color w:val="000000" w:themeColor="text1"/>
        </w:rPr>
        <w:t>Crane’s oil past.</w:t>
      </w:r>
      <w:r w:rsidR="001E3933">
        <w:rPr>
          <w:rStyle w:val="FootnoteReference"/>
          <w:rFonts w:ascii="Garamond" w:hAnsi="Garamond"/>
          <w:color w:val="000000" w:themeColor="text1"/>
        </w:rPr>
        <w:footnoteReference w:id="80"/>
      </w:r>
      <w:r w:rsidRPr="001B1C7A">
        <w:rPr>
          <w:rFonts w:ascii="Garamond" w:hAnsi="Garamond"/>
          <w:color w:val="000000" w:themeColor="text1"/>
        </w:rPr>
        <w:t xml:space="preserve"> According to biographer Norman Saul</w:t>
      </w:r>
      <w:r w:rsidRPr="001B1C7A">
        <w:rPr>
          <w:rFonts w:ascii="Garamond" w:hAnsi="Garamond"/>
          <w:i/>
          <w:iCs/>
          <w:color w:val="000000" w:themeColor="text1"/>
        </w:rPr>
        <w:t xml:space="preserve">, </w:t>
      </w:r>
      <w:r w:rsidRPr="001B1C7A">
        <w:rPr>
          <w:rFonts w:ascii="Garamond" w:hAnsi="Garamond"/>
          <w:color w:val="000000" w:themeColor="text1"/>
        </w:rPr>
        <w:t>Crane had surveyed oil fields in Baku and consulted on pipelines as early as 1896, indicating Crane’s early understanding of oil’s significance.</w:t>
      </w:r>
      <w:r>
        <w:rPr>
          <w:rStyle w:val="FootnoteReference"/>
          <w:rFonts w:ascii="Garamond" w:hAnsi="Garamond"/>
          <w:color w:val="000000" w:themeColor="text1"/>
        </w:rPr>
        <w:footnoteReference w:id="81"/>
      </w:r>
      <w:r w:rsidRPr="001B1C7A">
        <w:rPr>
          <w:rFonts w:ascii="Garamond" w:hAnsi="Garamond"/>
          <w:color w:val="000000" w:themeColor="text1"/>
        </w:rPr>
        <w:t xml:space="preserve"> Each man shared public pasts </w:t>
      </w:r>
      <w:r w:rsidRPr="001B1C7A">
        <w:rPr>
          <w:rFonts w:ascii="Garamond" w:hAnsi="Garamond"/>
          <w:color w:val="000000" w:themeColor="text1"/>
        </w:rPr>
        <w:lastRenderedPageBreak/>
        <w:t xml:space="preserve">with the oil industry; the </w:t>
      </w:r>
      <w:r w:rsidR="00C6532D">
        <w:rPr>
          <w:rFonts w:ascii="Garamond" w:hAnsi="Garamond"/>
          <w:color w:val="000000" w:themeColor="text1"/>
        </w:rPr>
        <w:t>K.C.C.</w:t>
      </w:r>
      <w:r w:rsidRPr="001B1C7A">
        <w:rPr>
          <w:rFonts w:ascii="Garamond" w:hAnsi="Garamond"/>
          <w:color w:val="000000" w:themeColor="text1"/>
        </w:rPr>
        <w:t xml:space="preserve">, with its Middle East travels and direct line to Wilson, offered these emissaries the opportunity to draw on their previous oil knowledge to inform U.S </w:t>
      </w:r>
      <w:r w:rsidR="00B74B9A">
        <w:rPr>
          <w:rFonts w:ascii="Garamond" w:hAnsi="Garamond"/>
          <w:color w:val="000000" w:themeColor="text1"/>
        </w:rPr>
        <w:t xml:space="preserve">oil </w:t>
      </w:r>
      <w:r w:rsidRPr="001B1C7A">
        <w:rPr>
          <w:rFonts w:ascii="Garamond" w:hAnsi="Garamond"/>
          <w:color w:val="000000" w:themeColor="text1"/>
        </w:rPr>
        <w:t xml:space="preserve">considerations. </w:t>
      </w:r>
    </w:p>
    <w:p w14:paraId="577EFBF3" w14:textId="72DF9823"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In rebuffing interpretations of the </w:t>
      </w:r>
      <w:r w:rsidR="00C6532D">
        <w:rPr>
          <w:rFonts w:ascii="Garamond" w:hAnsi="Garamond"/>
          <w:color w:val="000000" w:themeColor="text1"/>
        </w:rPr>
        <w:t>K.C.C.</w:t>
      </w:r>
      <w:r w:rsidRPr="001B1C7A">
        <w:rPr>
          <w:rFonts w:ascii="Garamond" w:hAnsi="Garamond"/>
          <w:color w:val="000000" w:themeColor="text1"/>
        </w:rPr>
        <w:t xml:space="preserve"> that tried to use Crane’s later-revealed anti-</w:t>
      </w:r>
      <w:r w:rsidR="00B74B9A">
        <w:rPr>
          <w:rFonts w:ascii="Garamond" w:hAnsi="Garamond"/>
          <w:color w:val="000000" w:themeColor="text1"/>
        </w:rPr>
        <w:t>S</w:t>
      </w:r>
      <w:r w:rsidRPr="001B1C7A">
        <w:rPr>
          <w:rFonts w:ascii="Garamond" w:hAnsi="Garamond"/>
          <w:color w:val="000000" w:themeColor="text1"/>
        </w:rPr>
        <w:t xml:space="preserve">emitism to invalidate the </w:t>
      </w:r>
      <w:r w:rsidR="00C6532D">
        <w:rPr>
          <w:rFonts w:ascii="Garamond" w:hAnsi="Garamond"/>
          <w:color w:val="000000" w:themeColor="text1"/>
        </w:rPr>
        <w:t>K.C.C.</w:t>
      </w:r>
      <w:r w:rsidRPr="001B1C7A">
        <w:rPr>
          <w:rFonts w:ascii="Garamond" w:hAnsi="Garamond"/>
          <w:color w:val="000000" w:themeColor="text1"/>
        </w:rPr>
        <w:t>’s anti–Zionist findings, Patrick shows that, in 1919, Crane remained against Zionism due to its incompatibility with self-determination</w:t>
      </w:r>
      <w:r w:rsidR="00B74B9A">
        <w:rPr>
          <w:rFonts w:ascii="Garamond" w:hAnsi="Garamond"/>
          <w:color w:val="000000" w:themeColor="text1"/>
        </w:rPr>
        <w:t>, not anti – Semitic predilections</w:t>
      </w:r>
      <w:r w:rsidRPr="001B1C7A">
        <w:rPr>
          <w:rFonts w:ascii="Garamond" w:hAnsi="Garamond"/>
          <w:color w:val="000000" w:themeColor="text1"/>
        </w:rPr>
        <w:t>.</w:t>
      </w:r>
      <w:r>
        <w:rPr>
          <w:rStyle w:val="FootnoteReference"/>
          <w:rFonts w:ascii="Garamond" w:hAnsi="Garamond"/>
          <w:color w:val="000000" w:themeColor="text1"/>
        </w:rPr>
        <w:footnoteReference w:id="82"/>
      </w:r>
      <w:r w:rsidRPr="001B1C7A">
        <w:rPr>
          <w:rFonts w:ascii="Garamond" w:hAnsi="Garamond"/>
          <w:color w:val="000000" w:themeColor="text1"/>
        </w:rPr>
        <w:t xml:space="preserve"> Saul also establishes that Crane remained friendly with Zionists and, through analysis of specific pieces, Michael Reimer corroborates Patrick and Saul’s findings</w:t>
      </w:r>
      <w:r>
        <w:rPr>
          <w:rFonts w:ascii="Garamond" w:hAnsi="Garamond"/>
          <w:color w:val="000000" w:themeColor="text1"/>
        </w:rPr>
        <w:t>.</w:t>
      </w:r>
      <w:r>
        <w:rPr>
          <w:rStyle w:val="FootnoteReference"/>
          <w:rFonts w:ascii="Garamond" w:hAnsi="Garamond"/>
          <w:color w:val="000000" w:themeColor="text1"/>
        </w:rPr>
        <w:footnoteReference w:id="83"/>
      </w:r>
      <w:r w:rsidRPr="001B1C7A">
        <w:rPr>
          <w:rFonts w:ascii="Garamond" w:hAnsi="Garamond"/>
          <w:color w:val="000000" w:themeColor="text1"/>
        </w:rPr>
        <w:t xml:space="preserve"> Reimer also pushes back against the “minimalist view” of the </w:t>
      </w:r>
      <w:r w:rsidR="00C6532D">
        <w:rPr>
          <w:rFonts w:ascii="Garamond" w:hAnsi="Garamond"/>
          <w:color w:val="000000" w:themeColor="text1"/>
        </w:rPr>
        <w:t>K.C.C.</w:t>
      </w:r>
      <w:r w:rsidRPr="001B1C7A">
        <w:rPr>
          <w:rFonts w:ascii="Garamond" w:hAnsi="Garamond"/>
          <w:color w:val="000000" w:themeColor="text1"/>
        </w:rPr>
        <w:t xml:space="preserve">, </w:t>
      </w:r>
      <w:r w:rsidR="007C16E9">
        <w:rPr>
          <w:rFonts w:ascii="Garamond" w:hAnsi="Garamond"/>
          <w:color w:val="000000" w:themeColor="text1"/>
        </w:rPr>
        <w:t>which</w:t>
      </w:r>
      <w:r w:rsidR="007C16E9" w:rsidRPr="001B1C7A">
        <w:rPr>
          <w:rFonts w:ascii="Garamond" w:hAnsi="Garamond"/>
          <w:color w:val="000000" w:themeColor="text1"/>
        </w:rPr>
        <w:t xml:space="preserve"> </w:t>
      </w:r>
      <w:r w:rsidR="007C16E9">
        <w:rPr>
          <w:rFonts w:ascii="Garamond" w:hAnsi="Garamond"/>
          <w:color w:val="000000" w:themeColor="text1"/>
        </w:rPr>
        <w:t>sees</w:t>
      </w:r>
      <w:r w:rsidR="007C16E9" w:rsidRPr="001B1C7A">
        <w:rPr>
          <w:rFonts w:ascii="Garamond" w:hAnsi="Garamond"/>
          <w:color w:val="000000" w:themeColor="text1"/>
        </w:rPr>
        <w:t xml:space="preserve"> </w:t>
      </w:r>
      <w:r w:rsidRPr="001B1C7A">
        <w:rPr>
          <w:rFonts w:ascii="Garamond" w:hAnsi="Garamond"/>
          <w:color w:val="000000" w:themeColor="text1"/>
        </w:rPr>
        <w:t xml:space="preserve">the </w:t>
      </w:r>
      <w:r w:rsidR="00C6532D">
        <w:rPr>
          <w:rFonts w:ascii="Garamond" w:hAnsi="Garamond"/>
          <w:color w:val="000000" w:themeColor="text1"/>
        </w:rPr>
        <w:t>K.C.C.</w:t>
      </w:r>
      <w:r w:rsidRPr="001B1C7A">
        <w:rPr>
          <w:rFonts w:ascii="Garamond" w:hAnsi="Garamond"/>
          <w:color w:val="000000" w:themeColor="text1"/>
        </w:rPr>
        <w:t xml:space="preserve"> as of little historical importance, and interprets it as a window for understanding the historical bonds of </w:t>
      </w:r>
      <w:r w:rsidRPr="001B1C7A">
        <w:rPr>
          <w:rFonts w:ascii="Garamond" w:hAnsi="Garamond"/>
          <w:i/>
          <w:iCs/>
          <w:color w:val="000000" w:themeColor="text1"/>
        </w:rPr>
        <w:t>bilad al – shami</w:t>
      </w:r>
      <w:r w:rsidRPr="001B1C7A">
        <w:rPr>
          <w:rFonts w:ascii="Garamond" w:hAnsi="Garamond"/>
          <w:color w:val="000000" w:themeColor="text1"/>
        </w:rPr>
        <w:t>, roughly Greater Syria.</w:t>
      </w:r>
      <w:r>
        <w:rPr>
          <w:rStyle w:val="FootnoteReference"/>
          <w:rFonts w:ascii="Garamond" w:hAnsi="Garamond"/>
          <w:color w:val="000000" w:themeColor="text1"/>
        </w:rPr>
        <w:footnoteReference w:id="84"/>
      </w:r>
      <w:r w:rsidRPr="001B1C7A">
        <w:rPr>
          <w:rFonts w:ascii="Garamond" w:hAnsi="Garamond"/>
          <w:color w:val="000000" w:themeColor="text1"/>
        </w:rPr>
        <w:t xml:space="preserve"> Reimer’s logic holds when observing how cultural and linguistic ties transcend the borders between Lebanon, Syria, Jordan and Palestine today. </w:t>
      </w:r>
      <w:r w:rsidR="00BF79CD">
        <w:rPr>
          <w:rFonts w:ascii="Garamond" w:hAnsi="Garamond"/>
          <w:color w:val="000000" w:themeColor="text1"/>
        </w:rPr>
        <w:t>Reimer’s work is significant because it attempts to use the K.C.C.’s findings as a proxy for Syrian cultural identity; this does not relate to oil,</w:t>
      </w:r>
      <w:r w:rsidR="00A40428">
        <w:rPr>
          <w:rFonts w:ascii="Garamond" w:hAnsi="Garamond"/>
          <w:color w:val="000000" w:themeColor="text1"/>
        </w:rPr>
        <w:t xml:space="preserve"> but </w:t>
      </w:r>
      <w:r w:rsidR="00BF79CD">
        <w:rPr>
          <w:rFonts w:ascii="Garamond" w:hAnsi="Garamond"/>
          <w:color w:val="000000" w:themeColor="text1"/>
        </w:rPr>
        <w:t xml:space="preserve">it is an </w:t>
      </w:r>
      <w:r w:rsidR="00A40428">
        <w:rPr>
          <w:rFonts w:ascii="Garamond" w:hAnsi="Garamond"/>
          <w:color w:val="000000" w:themeColor="text1"/>
        </w:rPr>
        <w:t>effort</w:t>
      </w:r>
      <w:r w:rsidR="00BF79CD">
        <w:rPr>
          <w:rFonts w:ascii="Garamond" w:hAnsi="Garamond"/>
          <w:color w:val="000000" w:themeColor="text1"/>
        </w:rPr>
        <w:t xml:space="preserve"> that does not discount the K.C.C.’s importance because of its unfulfilled recommendations. </w:t>
      </w:r>
      <w:r w:rsidR="00C529B6">
        <w:rPr>
          <w:rFonts w:ascii="Garamond" w:hAnsi="Garamond"/>
          <w:color w:val="000000" w:themeColor="text1"/>
        </w:rPr>
        <w:t xml:space="preserve">This paper also rebuffs the minimalist view of the K.C.C. </w:t>
      </w:r>
    </w:p>
    <w:p w14:paraId="3D9489AC" w14:textId="047C66BD"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Finally, </w:t>
      </w:r>
      <w:r w:rsidR="00B74B9A">
        <w:rPr>
          <w:rFonts w:ascii="Garamond" w:hAnsi="Garamond"/>
          <w:color w:val="000000" w:themeColor="text1"/>
        </w:rPr>
        <w:t xml:space="preserve">James </w:t>
      </w:r>
      <w:r w:rsidRPr="001B1C7A">
        <w:rPr>
          <w:rFonts w:ascii="Garamond" w:hAnsi="Garamond"/>
          <w:color w:val="000000" w:themeColor="text1"/>
        </w:rPr>
        <w:t xml:space="preserve">Gelvin argues that the </w:t>
      </w:r>
      <w:r w:rsidR="00C6532D">
        <w:rPr>
          <w:rFonts w:ascii="Garamond" w:hAnsi="Garamond"/>
          <w:color w:val="000000" w:themeColor="text1"/>
        </w:rPr>
        <w:t>K.C.C.</w:t>
      </w:r>
      <w:r w:rsidRPr="001B1C7A">
        <w:rPr>
          <w:rFonts w:ascii="Garamond" w:hAnsi="Garamond"/>
          <w:color w:val="000000" w:themeColor="text1"/>
        </w:rPr>
        <w:t xml:space="preserve"> </w:t>
      </w:r>
      <w:r w:rsidR="001E3933">
        <w:rPr>
          <w:rFonts w:ascii="Garamond" w:hAnsi="Garamond"/>
          <w:color w:val="000000" w:themeColor="text1"/>
        </w:rPr>
        <w:t xml:space="preserve">and </w:t>
      </w:r>
      <w:r w:rsidR="001E3933" w:rsidRPr="001B1C7A">
        <w:rPr>
          <w:rFonts w:ascii="Garamond" w:hAnsi="Garamond"/>
          <w:color w:val="000000" w:themeColor="text1"/>
        </w:rPr>
        <w:t>its unfulfilled promises</w:t>
      </w:r>
      <w:r w:rsidR="001E3933">
        <w:rPr>
          <w:rFonts w:ascii="Garamond" w:hAnsi="Garamond"/>
          <w:color w:val="000000" w:themeColor="text1"/>
        </w:rPr>
        <w:t xml:space="preserve">, </w:t>
      </w:r>
      <w:r w:rsidRPr="001B1C7A">
        <w:rPr>
          <w:rFonts w:ascii="Garamond" w:hAnsi="Garamond"/>
          <w:color w:val="000000" w:themeColor="text1"/>
        </w:rPr>
        <w:t xml:space="preserve">combined with the post-World War I economic downturn, </w:t>
      </w:r>
      <w:r w:rsidR="001E3933">
        <w:rPr>
          <w:rFonts w:ascii="Garamond" w:hAnsi="Garamond"/>
          <w:color w:val="000000" w:themeColor="text1"/>
        </w:rPr>
        <w:t>galvanized</w:t>
      </w:r>
      <w:r w:rsidRPr="001B1C7A">
        <w:rPr>
          <w:rFonts w:ascii="Garamond" w:hAnsi="Garamond"/>
          <w:color w:val="000000" w:themeColor="text1"/>
        </w:rPr>
        <w:t xml:space="preserve"> populist, anti – Occidental </w:t>
      </w:r>
      <w:r w:rsidR="00726104">
        <w:rPr>
          <w:rFonts w:ascii="Garamond" w:hAnsi="Garamond"/>
          <w:color w:val="000000" w:themeColor="text1"/>
        </w:rPr>
        <w:t>attitudes</w:t>
      </w:r>
      <w:r w:rsidR="005E2D33">
        <w:rPr>
          <w:rFonts w:ascii="Garamond" w:hAnsi="Garamond"/>
          <w:color w:val="000000" w:themeColor="text1"/>
        </w:rPr>
        <w:t xml:space="preserve"> in Syria</w:t>
      </w:r>
      <w:r w:rsidRPr="001B1C7A">
        <w:rPr>
          <w:rFonts w:ascii="Garamond" w:hAnsi="Garamond"/>
          <w:color w:val="000000" w:themeColor="text1"/>
        </w:rPr>
        <w:t xml:space="preserve">. According to Gelvin, the </w:t>
      </w:r>
      <w:r w:rsidR="00C6532D">
        <w:rPr>
          <w:rFonts w:ascii="Garamond" w:hAnsi="Garamond"/>
          <w:color w:val="000000" w:themeColor="text1"/>
        </w:rPr>
        <w:t>K.C.C.</w:t>
      </w:r>
      <w:r w:rsidRPr="001B1C7A">
        <w:rPr>
          <w:rFonts w:ascii="Garamond" w:hAnsi="Garamond"/>
          <w:color w:val="000000" w:themeColor="text1"/>
        </w:rPr>
        <w:t xml:space="preserve"> “had the unintended effect of catalyzing and, in many ways, defining the political movement that arose to resist the imposition of a mandate on Syria.</w:t>
      </w:r>
      <w:r>
        <w:rPr>
          <w:rFonts w:ascii="Garamond" w:hAnsi="Garamond"/>
          <w:color w:val="000000" w:themeColor="text1"/>
        </w:rPr>
        <w:t>”</w:t>
      </w:r>
      <w:r>
        <w:rPr>
          <w:rStyle w:val="FootnoteReference"/>
          <w:rFonts w:ascii="Garamond" w:hAnsi="Garamond"/>
          <w:color w:val="000000" w:themeColor="text1"/>
        </w:rPr>
        <w:footnoteReference w:id="85"/>
      </w:r>
      <w:r w:rsidRPr="001B1C7A">
        <w:rPr>
          <w:rFonts w:ascii="Garamond" w:hAnsi="Garamond"/>
          <w:color w:val="000000" w:themeColor="text1"/>
        </w:rPr>
        <w:t xml:space="preserve"> </w:t>
      </w:r>
      <w:r>
        <w:rPr>
          <w:rFonts w:ascii="Garamond" w:hAnsi="Garamond"/>
          <w:color w:val="000000" w:themeColor="text1"/>
        </w:rPr>
        <w:t xml:space="preserve">Gelvin, however, </w:t>
      </w:r>
      <w:r w:rsidR="00B74B9A">
        <w:rPr>
          <w:rFonts w:ascii="Garamond" w:hAnsi="Garamond"/>
          <w:color w:val="000000" w:themeColor="text1"/>
        </w:rPr>
        <w:t>ignores</w:t>
      </w:r>
      <w:r>
        <w:rPr>
          <w:rFonts w:ascii="Garamond" w:hAnsi="Garamond"/>
          <w:color w:val="000000" w:themeColor="text1"/>
        </w:rPr>
        <w:t xml:space="preserve"> that both the British and French had reneged on promises made to the Arab</w:t>
      </w:r>
      <w:r w:rsidR="005E2D33">
        <w:rPr>
          <w:rFonts w:ascii="Garamond" w:hAnsi="Garamond"/>
          <w:color w:val="000000" w:themeColor="text1"/>
        </w:rPr>
        <w:t>s</w:t>
      </w:r>
      <w:r w:rsidRPr="001B1C7A">
        <w:rPr>
          <w:rFonts w:ascii="Garamond" w:hAnsi="Garamond"/>
          <w:color w:val="000000" w:themeColor="text1"/>
        </w:rPr>
        <w:t xml:space="preserve">. The </w:t>
      </w:r>
      <w:r w:rsidR="00C6532D">
        <w:rPr>
          <w:rFonts w:ascii="Garamond" w:hAnsi="Garamond"/>
          <w:color w:val="000000" w:themeColor="text1"/>
        </w:rPr>
        <w:t>K.C.C.</w:t>
      </w:r>
      <w:r w:rsidRPr="001B1C7A">
        <w:rPr>
          <w:rFonts w:ascii="Garamond" w:hAnsi="Garamond"/>
          <w:color w:val="000000" w:themeColor="text1"/>
        </w:rPr>
        <w:t xml:space="preserve"> may have falsely raised hopes, but Gelvin analyzing Syrian nationalism without acknowledging the McMahon–Hussein correspondence</w:t>
      </w:r>
      <w:r w:rsidR="00B74B9A">
        <w:rPr>
          <w:rFonts w:ascii="Garamond" w:hAnsi="Garamond"/>
          <w:color w:val="000000" w:themeColor="text1"/>
        </w:rPr>
        <w:t xml:space="preserve"> or </w:t>
      </w:r>
      <w:r w:rsidRPr="001B1C7A">
        <w:rPr>
          <w:rFonts w:ascii="Garamond" w:hAnsi="Garamond"/>
          <w:color w:val="000000" w:themeColor="text1"/>
        </w:rPr>
        <w:t>other agreement</w:t>
      </w:r>
      <w:r w:rsidR="00B74B9A">
        <w:rPr>
          <w:rFonts w:ascii="Garamond" w:hAnsi="Garamond"/>
          <w:color w:val="000000" w:themeColor="text1"/>
        </w:rPr>
        <w:t xml:space="preserve"> </w:t>
      </w:r>
      <w:r w:rsidRPr="001B1C7A">
        <w:rPr>
          <w:rFonts w:ascii="Garamond" w:hAnsi="Garamond"/>
          <w:color w:val="000000" w:themeColor="text1"/>
        </w:rPr>
        <w:t xml:space="preserve">artificially inflates the importance of the </w:t>
      </w:r>
      <w:r w:rsidR="00C6532D">
        <w:rPr>
          <w:rFonts w:ascii="Garamond" w:hAnsi="Garamond"/>
          <w:color w:val="000000" w:themeColor="text1"/>
        </w:rPr>
        <w:t>K.C.C.</w:t>
      </w:r>
      <w:r w:rsidRPr="001B1C7A">
        <w:rPr>
          <w:rFonts w:ascii="Garamond" w:hAnsi="Garamond"/>
          <w:color w:val="000000" w:themeColor="text1"/>
        </w:rPr>
        <w:t xml:space="preserve"> to further his argument. </w:t>
      </w:r>
    </w:p>
    <w:p w14:paraId="067250A6" w14:textId="27DDE460" w:rsidR="0030323A" w:rsidRPr="001B1C7A" w:rsidRDefault="005E2D33" w:rsidP="0030323A">
      <w:pPr>
        <w:spacing w:line="480" w:lineRule="auto"/>
        <w:ind w:firstLine="720"/>
        <w:rPr>
          <w:rFonts w:ascii="Garamond" w:hAnsi="Garamond"/>
          <w:color w:val="000000" w:themeColor="text1"/>
        </w:rPr>
      </w:pPr>
      <w:r>
        <w:rPr>
          <w:rFonts w:ascii="Garamond" w:hAnsi="Garamond"/>
          <w:color w:val="000000" w:themeColor="text1"/>
        </w:rPr>
        <w:lastRenderedPageBreak/>
        <w:t xml:space="preserve">As one can see from the previous </w:t>
      </w:r>
      <w:r w:rsidR="00B74B9A">
        <w:rPr>
          <w:rFonts w:ascii="Garamond" w:hAnsi="Garamond"/>
          <w:color w:val="000000" w:themeColor="text1"/>
        </w:rPr>
        <w:t>paragraphs,</w:t>
      </w:r>
      <w:r>
        <w:rPr>
          <w:rFonts w:ascii="Garamond" w:hAnsi="Garamond"/>
          <w:color w:val="000000" w:themeColor="text1"/>
        </w:rPr>
        <w:t xml:space="preserve"> i</w:t>
      </w:r>
      <w:r w:rsidR="0030323A" w:rsidRPr="001B1C7A">
        <w:rPr>
          <w:rFonts w:ascii="Garamond" w:hAnsi="Garamond"/>
          <w:color w:val="000000" w:themeColor="text1"/>
        </w:rPr>
        <w:t xml:space="preserve">n the small body of literature that discusses the </w:t>
      </w:r>
      <w:r w:rsidR="00C6532D">
        <w:rPr>
          <w:rFonts w:ascii="Garamond" w:hAnsi="Garamond"/>
          <w:color w:val="000000" w:themeColor="text1"/>
        </w:rPr>
        <w:t>K.C.C.</w:t>
      </w:r>
      <w:r w:rsidR="0030323A" w:rsidRPr="001B1C7A">
        <w:rPr>
          <w:rFonts w:ascii="Garamond" w:hAnsi="Garamond"/>
          <w:color w:val="000000" w:themeColor="text1"/>
        </w:rPr>
        <w:t>, there is an omission: the oil competition between European powers that had been brewing since the early 1900s</w:t>
      </w:r>
      <w:r w:rsidR="001E3933">
        <w:rPr>
          <w:rFonts w:ascii="Garamond" w:hAnsi="Garamond"/>
          <w:color w:val="000000" w:themeColor="text1"/>
        </w:rPr>
        <w:t>.</w:t>
      </w:r>
      <w:r w:rsidR="00F473B4">
        <w:rPr>
          <w:rStyle w:val="FootnoteReference"/>
          <w:rFonts w:ascii="Garamond" w:hAnsi="Garamond"/>
          <w:color w:val="000000" w:themeColor="text1"/>
        </w:rPr>
        <w:footnoteReference w:id="86"/>
      </w:r>
      <w:r w:rsidR="001E3933">
        <w:rPr>
          <w:rFonts w:ascii="Garamond" w:hAnsi="Garamond"/>
          <w:color w:val="000000" w:themeColor="text1"/>
        </w:rPr>
        <w:t xml:space="preserve"> </w:t>
      </w:r>
      <w:r w:rsidR="00592111">
        <w:rPr>
          <w:rFonts w:ascii="Garamond" w:hAnsi="Garamond"/>
          <w:color w:val="000000" w:themeColor="text1"/>
        </w:rPr>
        <w:t xml:space="preserve">Solely viewing the K.C.C. as evidence of Wilson’s failed idealism has caused scholars to overlook its importance in other aspects, like oil. </w:t>
      </w:r>
      <w:r w:rsidR="0030323A" w:rsidRPr="001B1C7A">
        <w:rPr>
          <w:rFonts w:ascii="Garamond" w:hAnsi="Garamond"/>
          <w:color w:val="000000" w:themeColor="text1"/>
        </w:rPr>
        <w:t xml:space="preserve">As the </w:t>
      </w:r>
      <w:r w:rsidR="00C6532D">
        <w:rPr>
          <w:rFonts w:ascii="Garamond" w:hAnsi="Garamond"/>
          <w:color w:val="000000" w:themeColor="text1"/>
        </w:rPr>
        <w:t>K.C.C.</w:t>
      </w:r>
      <w:r w:rsidR="0030323A" w:rsidRPr="001B1C7A">
        <w:rPr>
          <w:rFonts w:ascii="Garamond" w:hAnsi="Garamond"/>
          <w:color w:val="000000" w:themeColor="text1"/>
        </w:rPr>
        <w:t xml:space="preserve"> visited the Middle East during intense intra-European and European–American competition over oil, interaction with </w:t>
      </w:r>
      <w:r w:rsidR="0030323A">
        <w:rPr>
          <w:rFonts w:ascii="Garamond" w:hAnsi="Garamond"/>
          <w:color w:val="000000" w:themeColor="text1"/>
        </w:rPr>
        <w:t xml:space="preserve">European </w:t>
      </w:r>
      <w:r w:rsidR="0030323A" w:rsidRPr="001B1C7A">
        <w:rPr>
          <w:rFonts w:ascii="Garamond" w:hAnsi="Garamond"/>
          <w:color w:val="000000" w:themeColor="text1"/>
        </w:rPr>
        <w:t xml:space="preserve">colonial officials undoubtedly sensitized the </w:t>
      </w:r>
      <w:r w:rsidR="00C6532D">
        <w:rPr>
          <w:rFonts w:ascii="Garamond" w:hAnsi="Garamond"/>
          <w:color w:val="000000" w:themeColor="text1"/>
        </w:rPr>
        <w:t>K.C.C.</w:t>
      </w:r>
      <w:r w:rsidR="0030323A" w:rsidRPr="001B1C7A">
        <w:rPr>
          <w:rFonts w:ascii="Garamond" w:hAnsi="Garamond"/>
          <w:color w:val="000000" w:themeColor="text1"/>
        </w:rPr>
        <w:t xml:space="preserve"> to European predatory economic practices. Crane and Yale, moreover, also possessed sufficient knowledge of geopolitical dynamics to inform inquiries into the region, and the entire </w:t>
      </w:r>
      <w:r w:rsidR="00C6532D">
        <w:rPr>
          <w:rFonts w:ascii="Garamond" w:hAnsi="Garamond"/>
          <w:color w:val="000000" w:themeColor="text1"/>
        </w:rPr>
        <w:t>K.C.C.</w:t>
      </w:r>
      <w:r w:rsidR="0030323A" w:rsidRPr="001B1C7A">
        <w:rPr>
          <w:rFonts w:ascii="Garamond" w:hAnsi="Garamond"/>
          <w:color w:val="000000" w:themeColor="text1"/>
        </w:rPr>
        <w:t xml:space="preserve"> maintained direct lines to Wilson. Policy measures such as the </w:t>
      </w:r>
      <w:r w:rsidR="0030323A">
        <w:rPr>
          <w:rFonts w:ascii="Garamond" w:hAnsi="Garamond"/>
          <w:color w:val="000000" w:themeColor="text1"/>
        </w:rPr>
        <w:t xml:space="preserve">Open  Door, that came to fruition soon </w:t>
      </w:r>
      <w:r w:rsidR="0030323A" w:rsidRPr="001B1C7A">
        <w:rPr>
          <w:rFonts w:ascii="Garamond" w:hAnsi="Garamond"/>
          <w:color w:val="000000" w:themeColor="text1"/>
        </w:rPr>
        <w:t xml:space="preserve">after the </w:t>
      </w:r>
      <w:r w:rsidR="00C6532D">
        <w:rPr>
          <w:rFonts w:ascii="Garamond" w:hAnsi="Garamond"/>
          <w:color w:val="000000" w:themeColor="text1"/>
        </w:rPr>
        <w:t>K.C.C.</w:t>
      </w:r>
      <w:r w:rsidR="0030323A" w:rsidRPr="001B1C7A">
        <w:rPr>
          <w:rFonts w:ascii="Garamond" w:hAnsi="Garamond"/>
          <w:color w:val="000000" w:themeColor="text1"/>
        </w:rPr>
        <w:t xml:space="preserve">’s return from the Middle East, also mimicked recommendations pushed by Yale during his time on the </w:t>
      </w:r>
      <w:r w:rsidR="00C6532D">
        <w:rPr>
          <w:rFonts w:ascii="Garamond" w:hAnsi="Garamond"/>
          <w:color w:val="000000" w:themeColor="text1"/>
        </w:rPr>
        <w:t>K.C.C.</w:t>
      </w:r>
      <w:r w:rsidR="0030323A" w:rsidRPr="001B1C7A">
        <w:rPr>
          <w:rFonts w:ascii="Garamond" w:hAnsi="Garamond"/>
          <w:color w:val="000000" w:themeColor="text1"/>
        </w:rPr>
        <w:t xml:space="preserve"> Thus, a closer analysis of the </w:t>
      </w:r>
      <w:r w:rsidR="00C6532D">
        <w:rPr>
          <w:rFonts w:ascii="Garamond" w:hAnsi="Garamond"/>
          <w:color w:val="000000" w:themeColor="text1"/>
        </w:rPr>
        <w:t>K.C.C.</w:t>
      </w:r>
      <w:r w:rsidR="0030323A" w:rsidRPr="001B1C7A">
        <w:rPr>
          <w:rFonts w:ascii="Garamond" w:hAnsi="Garamond"/>
          <w:color w:val="000000" w:themeColor="text1"/>
        </w:rPr>
        <w:t xml:space="preserve">’s formulation and discussions is needed to determine if the </w:t>
      </w:r>
      <w:r w:rsidR="00C6532D">
        <w:rPr>
          <w:rFonts w:ascii="Garamond" w:hAnsi="Garamond"/>
          <w:color w:val="000000" w:themeColor="text1"/>
        </w:rPr>
        <w:t>K.C.C.</w:t>
      </w:r>
      <w:r w:rsidR="0030323A" w:rsidRPr="001B1C7A">
        <w:rPr>
          <w:rFonts w:ascii="Garamond" w:hAnsi="Garamond"/>
          <w:color w:val="000000" w:themeColor="text1"/>
        </w:rPr>
        <w:t xml:space="preserve"> played a role in influencing early 1920s U.S. oil policy.</w:t>
      </w:r>
      <w:r w:rsidR="001B1278">
        <w:rPr>
          <w:rFonts w:ascii="Garamond" w:hAnsi="Garamond"/>
          <w:color w:val="000000" w:themeColor="text1"/>
        </w:rPr>
        <w:t xml:space="preserve">  </w:t>
      </w:r>
    </w:p>
    <w:p w14:paraId="6A8C9684" w14:textId="77777777" w:rsidR="0030323A" w:rsidRDefault="0030323A" w:rsidP="0030323A">
      <w:pPr>
        <w:pStyle w:val="Heading2"/>
        <w:numPr>
          <w:ilvl w:val="0"/>
          <w:numId w:val="33"/>
        </w:numPr>
        <w:rPr>
          <w:rFonts w:ascii="Garamond" w:hAnsi="Garamond"/>
          <w:color w:val="000000" w:themeColor="text1"/>
        </w:rPr>
      </w:pPr>
      <w:bookmarkStart w:id="21" w:name="_Toc66731785"/>
      <w:r w:rsidRPr="00E92768">
        <w:rPr>
          <w:rFonts w:ascii="Garamond" w:hAnsi="Garamond"/>
          <w:color w:val="000000" w:themeColor="text1"/>
        </w:rPr>
        <w:t>Oil and the King – Crane Commission</w:t>
      </w:r>
      <w:bookmarkEnd w:id="21"/>
      <w:r w:rsidRPr="00E92768">
        <w:rPr>
          <w:rFonts w:ascii="Garamond" w:hAnsi="Garamond"/>
          <w:color w:val="000000" w:themeColor="text1"/>
        </w:rPr>
        <w:t xml:space="preserve"> </w:t>
      </w:r>
    </w:p>
    <w:p w14:paraId="2E773838" w14:textId="77777777" w:rsidR="0030323A" w:rsidRPr="00E92768" w:rsidRDefault="0030323A" w:rsidP="0030323A"/>
    <w:p w14:paraId="2EB49642" w14:textId="17D9CA49" w:rsidR="0030323A" w:rsidRPr="001B1C7A" w:rsidRDefault="0030323A" w:rsidP="0030323A">
      <w:pPr>
        <w:spacing w:line="480" w:lineRule="auto"/>
        <w:ind w:firstLine="720"/>
        <w:rPr>
          <w:rFonts w:ascii="Garamond" w:hAnsi="Garamond"/>
          <w:color w:val="000000" w:themeColor="text1"/>
          <w:shd w:val="clear" w:color="auto" w:fill="FFFFFF"/>
        </w:rPr>
      </w:pPr>
      <w:r w:rsidRPr="001B1C7A">
        <w:rPr>
          <w:rFonts w:ascii="Garamond" w:hAnsi="Garamond"/>
          <w:color w:val="000000" w:themeColor="text1"/>
        </w:rPr>
        <w:t>Oil rose in significance as a national security imperative immediately before World War I</w:t>
      </w:r>
      <w:r w:rsidR="005E2D33">
        <w:rPr>
          <w:rFonts w:ascii="Garamond" w:hAnsi="Garamond"/>
          <w:color w:val="000000" w:themeColor="text1"/>
        </w:rPr>
        <w:t xml:space="preserve">. </w:t>
      </w:r>
      <w:r w:rsidRPr="001B1C7A">
        <w:rPr>
          <w:rFonts w:ascii="Garamond" w:hAnsi="Garamond"/>
          <w:color w:val="000000" w:themeColor="text1"/>
          <w:shd w:val="clear" w:color="auto" w:fill="FFFFFF"/>
        </w:rPr>
        <w:t>However, Britain</w:t>
      </w:r>
      <w:r>
        <w:rPr>
          <w:rFonts w:ascii="Garamond" w:hAnsi="Garamond"/>
          <w:color w:val="000000" w:themeColor="text1"/>
          <w:shd w:val="clear" w:color="auto" w:fill="FFFFFF"/>
        </w:rPr>
        <w:t xml:space="preserve"> </w:t>
      </w:r>
      <w:r w:rsidR="005E2D33">
        <w:rPr>
          <w:rFonts w:ascii="Garamond" w:hAnsi="Garamond"/>
          <w:color w:val="000000" w:themeColor="text1"/>
          <w:shd w:val="clear" w:color="auto" w:fill="FFFFFF"/>
        </w:rPr>
        <w:t>feared its oil dependence on</w:t>
      </w:r>
      <w:r w:rsidR="005E2D33" w:rsidRPr="001B1C7A">
        <w:rPr>
          <w:rFonts w:ascii="Garamond" w:hAnsi="Garamond"/>
          <w:color w:val="000000" w:themeColor="text1"/>
          <w:shd w:val="clear" w:color="auto" w:fill="FFFFFF"/>
        </w:rPr>
        <w:t xml:space="preserve"> </w:t>
      </w:r>
      <w:r w:rsidR="000A4A70">
        <w:rPr>
          <w:rFonts w:ascii="Garamond" w:hAnsi="Garamond"/>
          <w:color w:val="000000" w:themeColor="text1"/>
          <w:shd w:val="clear" w:color="auto" w:fill="FFFFFF"/>
        </w:rPr>
        <w:t>the United States</w:t>
      </w:r>
      <w:r w:rsidR="009E289C">
        <w:rPr>
          <w:rFonts w:ascii="Garamond" w:hAnsi="Garamond"/>
          <w:color w:val="000000" w:themeColor="text1"/>
          <w:shd w:val="clear" w:color="auto" w:fill="FFFFFF"/>
        </w:rPr>
        <w:t xml:space="preserve"> </w:t>
      </w:r>
      <w:r w:rsidR="005E2D33">
        <w:rPr>
          <w:rFonts w:ascii="Garamond" w:hAnsi="Garamond"/>
          <w:color w:val="000000" w:themeColor="text1"/>
          <w:shd w:val="clear" w:color="auto" w:fill="FFFFFF"/>
        </w:rPr>
        <w:t>and Mexico</w:t>
      </w:r>
      <w:r w:rsidRPr="001B1C7A">
        <w:rPr>
          <w:rFonts w:ascii="Garamond" w:hAnsi="Garamond"/>
          <w:color w:val="000000" w:themeColor="text1"/>
          <w:shd w:val="clear" w:color="auto" w:fill="FFFFFF"/>
        </w:rPr>
        <w:t xml:space="preserve"> </w:t>
      </w:r>
      <w:r w:rsidR="000A4A70">
        <w:rPr>
          <w:rFonts w:ascii="Garamond" w:hAnsi="Garamond"/>
          <w:color w:val="000000" w:themeColor="text1"/>
          <w:shd w:val="clear" w:color="auto" w:fill="FFFFFF"/>
        </w:rPr>
        <w:t>(</w:t>
      </w:r>
      <w:r w:rsidR="005E2D33">
        <w:rPr>
          <w:rFonts w:ascii="Garamond" w:hAnsi="Garamond"/>
          <w:color w:val="000000" w:themeColor="text1"/>
          <w:shd w:val="clear" w:color="auto" w:fill="FFFFFF"/>
        </w:rPr>
        <w:t>who</w:t>
      </w:r>
      <w:r w:rsidRPr="001B1C7A">
        <w:rPr>
          <w:rFonts w:ascii="Garamond" w:hAnsi="Garamond"/>
          <w:color w:val="000000" w:themeColor="text1"/>
          <w:shd w:val="clear" w:color="auto" w:fill="FFFFFF"/>
        </w:rPr>
        <w:t xml:space="preserve"> also feared that their oil was drying up</w:t>
      </w:r>
      <w:r w:rsidR="000A4A70">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Due to this dependence on oil, Sluglett notes that early British oil policy </w:t>
      </w:r>
      <w:r w:rsidR="009E289C">
        <w:rPr>
          <w:rFonts w:ascii="Garamond" w:hAnsi="Garamond"/>
          <w:color w:val="000000" w:themeColor="text1"/>
          <w:shd w:val="clear" w:color="auto" w:fill="FFFFFF"/>
        </w:rPr>
        <w:t>held</w:t>
      </w:r>
      <w:r w:rsidRPr="001B1C7A">
        <w:rPr>
          <w:rFonts w:ascii="Garamond" w:hAnsi="Garamond"/>
          <w:color w:val="000000" w:themeColor="text1"/>
          <w:shd w:val="clear" w:color="auto" w:fill="FFFFFF"/>
        </w:rPr>
        <w:t xml:space="preserve"> that “</w:t>
      </w:r>
      <w:r w:rsidRPr="001B1C7A">
        <w:rPr>
          <w:rFonts w:ascii="Garamond" w:hAnsi="Garamond"/>
          <w:color w:val="000000" w:themeColor="text1"/>
        </w:rPr>
        <w:t>Britain should be in a position of political influence or control in the territories where oil was known and that other powers should be excluded from these areas as far as possible</w:t>
      </w:r>
      <w:r>
        <w:rPr>
          <w:rFonts w:ascii="Garamond" w:hAnsi="Garamond"/>
          <w:color w:val="000000" w:themeColor="text1"/>
        </w:rPr>
        <w:t>.</w:t>
      </w:r>
      <w:r w:rsidRPr="001B1C7A">
        <w:rPr>
          <w:rFonts w:ascii="Garamond" w:hAnsi="Garamond"/>
          <w:color w:val="000000" w:themeColor="text1"/>
        </w:rPr>
        <w:t>”</w:t>
      </w:r>
      <w:r>
        <w:rPr>
          <w:rFonts w:ascii="Garamond" w:hAnsi="Garamond"/>
          <w:color w:val="000000" w:themeColor="text1"/>
        </w:rPr>
        <w:t xml:space="preserve"> </w:t>
      </w:r>
      <w:r>
        <w:rPr>
          <w:rStyle w:val="FootnoteReference"/>
          <w:rFonts w:ascii="Garamond" w:hAnsi="Garamond"/>
          <w:color w:val="000000" w:themeColor="text1"/>
        </w:rPr>
        <w:footnoteReference w:id="87"/>
      </w:r>
      <w:r w:rsidRPr="001B1C7A">
        <w:rPr>
          <w:rFonts w:ascii="Garamond" w:hAnsi="Garamond"/>
          <w:color w:val="000000" w:themeColor="text1"/>
        </w:rPr>
        <w:t xml:space="preserve"> This policy first manifested </w:t>
      </w:r>
      <w:r w:rsidR="009551C9">
        <w:rPr>
          <w:rFonts w:ascii="Garamond" w:hAnsi="Garamond"/>
          <w:color w:val="000000" w:themeColor="text1"/>
        </w:rPr>
        <w:t xml:space="preserve">itself </w:t>
      </w:r>
      <w:r w:rsidRPr="001B1C7A">
        <w:rPr>
          <w:rFonts w:ascii="Garamond" w:hAnsi="Garamond"/>
          <w:color w:val="000000" w:themeColor="text1"/>
        </w:rPr>
        <w:t>through the British acquisition of a 51% share of Anglo Persian an</w:t>
      </w:r>
      <w:r w:rsidR="007C16E9">
        <w:rPr>
          <w:rFonts w:ascii="Garamond" w:hAnsi="Garamond"/>
          <w:color w:val="000000" w:themeColor="text1"/>
        </w:rPr>
        <w:t xml:space="preserve">d </w:t>
      </w:r>
      <w:r w:rsidRPr="001B1C7A">
        <w:rPr>
          <w:rFonts w:ascii="Garamond" w:hAnsi="Garamond"/>
          <w:color w:val="000000" w:themeColor="text1"/>
        </w:rPr>
        <w:t xml:space="preserve">the </w:t>
      </w:r>
      <w:r>
        <w:rPr>
          <w:rFonts w:ascii="Garamond" w:hAnsi="Garamond"/>
          <w:color w:val="000000" w:themeColor="text1"/>
        </w:rPr>
        <w:t>T.P.C.</w:t>
      </w:r>
      <w:r w:rsidRPr="001B1C7A">
        <w:rPr>
          <w:rFonts w:ascii="Garamond" w:hAnsi="Garamond"/>
          <w:color w:val="000000" w:themeColor="text1"/>
          <w:shd w:val="clear" w:color="auto" w:fill="FFFFFF"/>
        </w:rPr>
        <w:t xml:space="preserve"> Kent notes, however, that “total output was less than 2% of the United States output, and Britain obtained more than 80% of her oil requirements from the USA.</w:t>
      </w:r>
      <w:r>
        <w:rPr>
          <w:rFonts w:ascii="Garamond" w:hAnsi="Garamond"/>
          <w:color w:val="000000" w:themeColor="text1"/>
          <w:shd w:val="clear" w:color="auto" w:fill="FFFFFF"/>
        </w:rPr>
        <w:t>”</w:t>
      </w:r>
      <w:r>
        <w:rPr>
          <w:rStyle w:val="FootnoteReference"/>
          <w:rFonts w:ascii="Garamond" w:hAnsi="Garamond"/>
          <w:color w:val="000000" w:themeColor="text1"/>
          <w:shd w:val="clear" w:color="auto" w:fill="FFFFFF"/>
        </w:rPr>
        <w:footnoteReference w:id="88"/>
      </w:r>
      <w:r w:rsidRPr="001B1C7A">
        <w:rPr>
          <w:rFonts w:ascii="Garamond" w:hAnsi="Garamond"/>
          <w:color w:val="000000" w:themeColor="text1"/>
          <w:shd w:val="clear" w:color="auto" w:fill="FFFFFF"/>
        </w:rPr>
        <w:t xml:space="preserve"> </w:t>
      </w:r>
    </w:p>
    <w:p w14:paraId="60F53A9D" w14:textId="29BC1F5A" w:rsidR="0030323A" w:rsidRPr="001B1C7A" w:rsidRDefault="0030323A" w:rsidP="0030323A">
      <w:pPr>
        <w:spacing w:line="480" w:lineRule="auto"/>
        <w:ind w:firstLine="720"/>
        <w:rPr>
          <w:rFonts w:ascii="Garamond" w:hAnsi="Garamond"/>
          <w:color w:val="000000" w:themeColor="text1"/>
          <w:shd w:val="clear" w:color="auto" w:fill="FFFFFF"/>
        </w:rPr>
      </w:pPr>
      <w:r w:rsidRPr="001B1C7A">
        <w:rPr>
          <w:rFonts w:ascii="Garamond" w:hAnsi="Garamond"/>
          <w:color w:val="000000" w:themeColor="text1"/>
          <w:shd w:val="clear" w:color="auto" w:fill="FFFFFF"/>
        </w:rPr>
        <w:lastRenderedPageBreak/>
        <w:t xml:space="preserve">Despite the U.S supplying the preponderance of the world’s oil, </w:t>
      </w:r>
      <w:r w:rsidR="005E2D33">
        <w:rPr>
          <w:rFonts w:ascii="Garamond" w:hAnsi="Garamond"/>
          <w:color w:val="000000" w:themeColor="text1"/>
          <w:shd w:val="clear" w:color="auto" w:fill="FFFFFF"/>
        </w:rPr>
        <w:t>J. H.</w:t>
      </w:r>
      <w:r w:rsidRPr="001B1C7A">
        <w:rPr>
          <w:rFonts w:ascii="Garamond" w:hAnsi="Garamond"/>
          <w:color w:val="000000" w:themeColor="text1"/>
          <w:shd w:val="clear" w:color="auto" w:fill="FFFFFF"/>
        </w:rPr>
        <w:t xml:space="preserve"> Wilson underscores that the U.S. wanted fair access for its companies in the Far East, Middle East and Russia because of “an exaggerated fear of oil shortage between 1919 and 1924” and “a lingering suspicion that … oil reserves in the U.S and Mexico were being rapidly depleted</w:t>
      </w:r>
      <w:r>
        <w:rPr>
          <w:rFonts w:ascii="Garamond" w:hAnsi="Garamond"/>
          <w:color w:val="000000" w:themeColor="text1"/>
          <w:shd w:val="clear" w:color="auto" w:fill="FFFFFF"/>
        </w:rPr>
        <w:t>.”</w:t>
      </w:r>
      <w:r>
        <w:rPr>
          <w:rStyle w:val="FootnoteReference"/>
          <w:rFonts w:ascii="Garamond" w:hAnsi="Garamond"/>
          <w:color w:val="000000" w:themeColor="text1"/>
          <w:shd w:val="clear" w:color="auto" w:fill="FFFFFF"/>
        </w:rPr>
        <w:footnoteReference w:id="89"/>
      </w:r>
      <w:r>
        <w:rPr>
          <w:rFonts w:ascii="Garamond" w:hAnsi="Garamond"/>
          <w:color w:val="000000" w:themeColor="text1"/>
          <w:shd w:val="clear" w:color="auto" w:fill="FFFFFF"/>
        </w:rPr>
        <w:t xml:space="preserve"> DeNovo and Stivers also show that the oil shortage motivated certain U.S. domestic interests to call for increased prosecution of British monopolistic actions in the Middle East.</w:t>
      </w:r>
      <w:r w:rsidR="001E3933">
        <w:rPr>
          <w:rStyle w:val="FootnoteReference"/>
          <w:rFonts w:ascii="Garamond" w:hAnsi="Garamond"/>
          <w:color w:val="000000" w:themeColor="text1"/>
          <w:shd w:val="clear" w:color="auto" w:fill="FFFFFF"/>
        </w:rPr>
        <w:footnoteReference w:id="90"/>
      </w:r>
      <w:r>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Patrick, though not discussing oil much, does acknowledge that “the British were seeking to control the petroleum areas [Mesopotamia] and that this was ‘not by accident’.</w:t>
      </w:r>
      <w:r>
        <w:rPr>
          <w:rFonts w:ascii="Garamond" w:hAnsi="Garamond"/>
          <w:color w:val="000000" w:themeColor="text1"/>
          <w:shd w:val="clear" w:color="auto" w:fill="FFFFFF"/>
        </w:rPr>
        <w:t>”</w:t>
      </w:r>
      <w:r>
        <w:rPr>
          <w:rStyle w:val="FootnoteReference"/>
          <w:rFonts w:ascii="Garamond" w:hAnsi="Garamond"/>
          <w:color w:val="000000" w:themeColor="text1"/>
          <w:shd w:val="clear" w:color="auto" w:fill="FFFFFF"/>
        </w:rPr>
        <w:footnoteReference w:id="91"/>
      </w:r>
      <w:r w:rsidRPr="001B1C7A">
        <w:rPr>
          <w:rFonts w:ascii="Garamond" w:hAnsi="Garamond"/>
          <w:color w:val="000000" w:themeColor="text1"/>
          <w:shd w:val="clear" w:color="auto" w:fill="FFFFFF"/>
        </w:rPr>
        <w:t xml:space="preserve"> Wilson and Rosenberg also demonstrate how U.S. foreign policymakers thought “American demand for oil exceeded domestic supply,” </w:t>
      </w:r>
      <w:r w:rsidR="000A4A70">
        <w:rPr>
          <w:rFonts w:ascii="Garamond" w:hAnsi="Garamond"/>
          <w:color w:val="000000" w:themeColor="text1"/>
          <w:shd w:val="clear" w:color="auto" w:fill="FFFFFF"/>
        </w:rPr>
        <w:t>establishing</w:t>
      </w:r>
      <w:r w:rsidR="000A4A70" w:rsidRPr="001B1C7A">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that American</w:t>
      </w:r>
      <w:r w:rsidR="000A4A70">
        <w:rPr>
          <w:rFonts w:ascii="Garamond" w:hAnsi="Garamond"/>
          <w:color w:val="000000" w:themeColor="text1"/>
          <w:shd w:val="clear" w:color="auto" w:fill="FFFFFF"/>
        </w:rPr>
        <w:t xml:space="preserve"> oil</w:t>
      </w:r>
      <w:r w:rsidRPr="001B1C7A">
        <w:rPr>
          <w:rFonts w:ascii="Garamond" w:hAnsi="Garamond"/>
          <w:color w:val="000000" w:themeColor="text1"/>
          <w:shd w:val="clear" w:color="auto" w:fill="FFFFFF"/>
        </w:rPr>
        <w:t xml:space="preserve"> supply did not assuage its quest for foreign oil.</w:t>
      </w:r>
      <w:r>
        <w:rPr>
          <w:rStyle w:val="FootnoteReference"/>
          <w:rFonts w:ascii="Garamond" w:hAnsi="Garamond"/>
          <w:color w:val="000000" w:themeColor="text1"/>
          <w:shd w:val="clear" w:color="auto" w:fill="FFFFFF"/>
        </w:rPr>
        <w:footnoteReference w:id="92"/>
      </w:r>
      <w:r w:rsidRPr="001B1C7A">
        <w:rPr>
          <w:rFonts w:ascii="Garamond" w:hAnsi="Garamond"/>
          <w:color w:val="000000" w:themeColor="text1"/>
          <w:shd w:val="clear" w:color="auto" w:fill="FFFFFF"/>
        </w:rPr>
        <w:t xml:space="preserve"> </w:t>
      </w:r>
    </w:p>
    <w:p w14:paraId="77DD52EB" w14:textId="508FDBA5" w:rsidR="00323CCB" w:rsidRPr="00323CCB" w:rsidRDefault="0072514E" w:rsidP="00680558">
      <w:pPr>
        <w:spacing w:line="480" w:lineRule="auto"/>
        <w:rPr>
          <w:lang w:bidi="en-US"/>
        </w:rPr>
      </w:pPr>
      <w:r>
        <w:rPr>
          <w:rFonts w:ascii="Garamond" w:hAnsi="Garamond"/>
          <w:color w:val="000000" w:themeColor="text1"/>
          <w:shd w:val="clear" w:color="auto" w:fill="FFFFFF"/>
        </w:rPr>
        <w:tab/>
      </w:r>
      <w:r w:rsidR="0030323A">
        <w:rPr>
          <w:rFonts w:ascii="Garamond" w:hAnsi="Garamond"/>
          <w:color w:val="000000" w:themeColor="text1"/>
          <w:shd w:val="clear" w:color="auto" w:fill="FFFFFF"/>
        </w:rPr>
        <w:t>T</w:t>
      </w:r>
      <w:r w:rsidR="0030323A" w:rsidRPr="001B1C7A">
        <w:rPr>
          <w:rFonts w:ascii="Garamond" w:hAnsi="Garamond"/>
          <w:color w:val="000000" w:themeColor="text1"/>
          <w:shd w:val="clear" w:color="auto" w:fill="FFFFFF"/>
        </w:rPr>
        <w:t>h</w:t>
      </w:r>
      <w:r w:rsidR="009C58FA">
        <w:rPr>
          <w:rFonts w:ascii="Garamond" w:hAnsi="Garamond"/>
          <w:color w:val="000000" w:themeColor="text1"/>
          <w:shd w:val="clear" w:color="auto" w:fill="FFFFFF"/>
        </w:rPr>
        <w:t xml:space="preserve">is review has established that the </w:t>
      </w:r>
      <w:r w:rsidR="00C6532D">
        <w:rPr>
          <w:rFonts w:ascii="Garamond" w:hAnsi="Garamond"/>
          <w:color w:val="000000" w:themeColor="text1"/>
          <w:shd w:val="clear" w:color="auto" w:fill="FFFFFF"/>
        </w:rPr>
        <w:t>K.C.C.</w:t>
      </w:r>
      <w:r w:rsidR="0030323A" w:rsidRPr="001B1C7A">
        <w:rPr>
          <w:rFonts w:ascii="Garamond" w:hAnsi="Garamond"/>
          <w:color w:val="000000" w:themeColor="text1"/>
          <w:shd w:val="clear" w:color="auto" w:fill="FFFFFF"/>
        </w:rPr>
        <w:t xml:space="preserve"> entered a Middle East </w:t>
      </w:r>
      <w:r w:rsidR="00F75975">
        <w:rPr>
          <w:rFonts w:ascii="Garamond" w:hAnsi="Garamond"/>
          <w:color w:val="000000" w:themeColor="text1"/>
          <w:shd w:val="clear" w:color="auto" w:fill="FFFFFF"/>
        </w:rPr>
        <w:t>that Europeans were targeting with predatory economic behavior</w:t>
      </w:r>
      <w:r w:rsidR="0030323A" w:rsidRPr="001B1C7A">
        <w:rPr>
          <w:rFonts w:ascii="Garamond" w:hAnsi="Garamond"/>
          <w:color w:val="000000" w:themeColor="text1"/>
          <w:shd w:val="clear" w:color="auto" w:fill="FFFFFF"/>
        </w:rPr>
        <w:t xml:space="preserve">. Washington became increasingly at odds with </w:t>
      </w:r>
      <w:r w:rsidR="009E289C">
        <w:rPr>
          <w:rFonts w:ascii="Garamond" w:hAnsi="Garamond"/>
          <w:color w:val="000000" w:themeColor="text1"/>
          <w:shd w:val="clear" w:color="auto" w:fill="FFFFFF"/>
        </w:rPr>
        <w:t>London</w:t>
      </w:r>
      <w:r w:rsidR="0030323A" w:rsidRPr="001B1C7A">
        <w:rPr>
          <w:rFonts w:ascii="Garamond" w:hAnsi="Garamond"/>
          <w:color w:val="000000" w:themeColor="text1"/>
          <w:shd w:val="clear" w:color="auto" w:fill="FFFFFF"/>
        </w:rPr>
        <w:t xml:space="preserve"> and </w:t>
      </w:r>
      <w:r w:rsidR="009E289C">
        <w:rPr>
          <w:rFonts w:ascii="Garamond" w:hAnsi="Garamond"/>
          <w:color w:val="000000" w:themeColor="text1"/>
          <w:shd w:val="clear" w:color="auto" w:fill="FFFFFF"/>
        </w:rPr>
        <w:t>Paris</w:t>
      </w:r>
      <w:r w:rsidR="0030323A" w:rsidRPr="001B1C7A">
        <w:rPr>
          <w:rFonts w:ascii="Garamond" w:hAnsi="Garamond"/>
          <w:color w:val="000000" w:themeColor="text1"/>
          <w:shd w:val="clear" w:color="auto" w:fill="FFFFFF"/>
        </w:rPr>
        <w:t xml:space="preserve"> over its exclusionary practices</w:t>
      </w:r>
      <w:r w:rsidR="0030323A">
        <w:rPr>
          <w:rFonts w:ascii="Garamond" w:hAnsi="Garamond"/>
          <w:color w:val="000000" w:themeColor="text1"/>
          <w:shd w:val="clear" w:color="auto" w:fill="FFFFFF"/>
        </w:rPr>
        <w:t>, which extensive literature, such as Stivers</w:t>
      </w:r>
      <w:r w:rsidR="005E2D33">
        <w:rPr>
          <w:rFonts w:ascii="Garamond" w:hAnsi="Garamond"/>
          <w:color w:val="000000" w:themeColor="text1"/>
          <w:shd w:val="clear" w:color="auto" w:fill="FFFFFF"/>
        </w:rPr>
        <w:t xml:space="preserve">, </w:t>
      </w:r>
      <w:r w:rsidR="0030323A">
        <w:rPr>
          <w:rFonts w:ascii="Garamond" w:hAnsi="Garamond"/>
          <w:color w:val="000000" w:themeColor="text1"/>
          <w:shd w:val="clear" w:color="auto" w:fill="FFFFFF"/>
        </w:rPr>
        <w:t>Jones</w:t>
      </w:r>
      <w:r w:rsidR="005E2D33">
        <w:rPr>
          <w:rFonts w:ascii="Garamond" w:hAnsi="Garamond"/>
          <w:color w:val="000000" w:themeColor="text1"/>
          <w:shd w:val="clear" w:color="auto" w:fill="FFFFFF"/>
        </w:rPr>
        <w:t>, Conlin</w:t>
      </w:r>
      <w:r w:rsidR="000A4A70">
        <w:rPr>
          <w:rFonts w:ascii="Garamond" w:hAnsi="Garamond"/>
          <w:color w:val="000000" w:themeColor="text1"/>
          <w:shd w:val="clear" w:color="auto" w:fill="FFFFFF"/>
        </w:rPr>
        <w:t>,</w:t>
      </w:r>
      <w:r w:rsidR="005E2D33">
        <w:rPr>
          <w:rFonts w:ascii="Garamond" w:hAnsi="Garamond"/>
          <w:color w:val="000000" w:themeColor="text1"/>
          <w:shd w:val="clear" w:color="auto" w:fill="FFFFFF"/>
        </w:rPr>
        <w:t xml:space="preserve"> and Kent,</w:t>
      </w:r>
      <w:r w:rsidR="0030323A">
        <w:rPr>
          <w:rFonts w:ascii="Garamond" w:hAnsi="Garamond"/>
          <w:color w:val="000000" w:themeColor="text1"/>
          <w:shd w:val="clear" w:color="auto" w:fill="FFFFFF"/>
        </w:rPr>
        <w:t xml:space="preserve"> has discussed.</w:t>
      </w:r>
      <w:r w:rsidR="0030323A">
        <w:rPr>
          <w:rStyle w:val="FootnoteReference"/>
          <w:rFonts w:ascii="Garamond" w:hAnsi="Garamond"/>
          <w:color w:val="000000" w:themeColor="text1"/>
          <w:shd w:val="clear" w:color="auto" w:fill="FFFFFF"/>
        </w:rPr>
        <w:footnoteReference w:id="93"/>
      </w:r>
      <w:r w:rsidR="0030323A" w:rsidRPr="001B1C7A">
        <w:rPr>
          <w:rFonts w:ascii="Garamond" w:hAnsi="Garamond"/>
          <w:color w:val="000000" w:themeColor="text1"/>
          <w:shd w:val="clear" w:color="auto" w:fill="FFFFFF"/>
        </w:rPr>
        <w:t xml:space="preserve"> Records also indicate how Yale </w:t>
      </w:r>
      <w:r w:rsidR="0030323A">
        <w:rPr>
          <w:rFonts w:ascii="Garamond" w:hAnsi="Garamond"/>
          <w:color w:val="000000" w:themeColor="text1"/>
          <w:shd w:val="clear" w:color="auto" w:fill="FFFFFF"/>
        </w:rPr>
        <w:t>was</w:t>
      </w:r>
      <w:r w:rsidR="0030323A" w:rsidRPr="001B1C7A">
        <w:rPr>
          <w:rFonts w:ascii="Garamond" w:hAnsi="Garamond"/>
          <w:color w:val="000000" w:themeColor="text1"/>
          <w:shd w:val="clear" w:color="auto" w:fill="FFFFFF"/>
        </w:rPr>
        <w:t xml:space="preserve"> already suspicious of European oil activities through the </w:t>
      </w:r>
      <w:r w:rsidR="0030323A">
        <w:rPr>
          <w:rFonts w:ascii="Garamond" w:hAnsi="Garamond"/>
          <w:color w:val="000000" w:themeColor="text1"/>
          <w:shd w:val="clear" w:color="auto" w:fill="FFFFFF"/>
        </w:rPr>
        <w:t>T.P.C.</w:t>
      </w:r>
      <w:r w:rsidR="0030323A" w:rsidRPr="001B1C7A">
        <w:rPr>
          <w:rFonts w:ascii="Garamond" w:hAnsi="Garamond"/>
          <w:color w:val="000000" w:themeColor="text1"/>
          <w:shd w:val="clear" w:color="auto" w:fill="FFFFFF"/>
        </w:rPr>
        <w:t xml:space="preserve"> when they visited Greater Syria</w:t>
      </w:r>
      <w:r w:rsidR="001E3933">
        <w:rPr>
          <w:rFonts w:ascii="Garamond" w:hAnsi="Garamond"/>
          <w:color w:val="000000" w:themeColor="text1"/>
          <w:shd w:val="clear" w:color="auto" w:fill="FFFFFF"/>
        </w:rPr>
        <w:t xml:space="preserve"> and how he advocated for the Open Door upon his return</w:t>
      </w:r>
      <w:r w:rsidR="0030323A" w:rsidRPr="001B1C7A">
        <w:rPr>
          <w:rFonts w:ascii="Garamond" w:hAnsi="Garamond"/>
          <w:color w:val="000000" w:themeColor="text1"/>
          <w:shd w:val="clear" w:color="auto" w:fill="FFFFFF"/>
        </w:rPr>
        <w:t xml:space="preserve"> </w:t>
      </w:r>
      <w:r w:rsidR="009E289C">
        <w:rPr>
          <w:rFonts w:ascii="Garamond" w:hAnsi="Garamond"/>
          <w:color w:val="000000" w:themeColor="text1"/>
          <w:shd w:val="clear" w:color="auto" w:fill="FFFFFF"/>
        </w:rPr>
        <w:t>Since</w:t>
      </w:r>
      <w:r w:rsidR="0030323A" w:rsidRPr="001B1C7A">
        <w:rPr>
          <w:rFonts w:ascii="Garamond" w:hAnsi="Garamond"/>
          <w:color w:val="000000" w:themeColor="text1"/>
          <w:shd w:val="clear" w:color="auto" w:fill="FFFFFF"/>
        </w:rPr>
        <w:t xml:space="preserve"> the </w:t>
      </w:r>
      <w:r w:rsidR="00C6532D">
        <w:rPr>
          <w:rFonts w:ascii="Garamond" w:hAnsi="Garamond"/>
          <w:color w:val="000000" w:themeColor="text1"/>
          <w:shd w:val="clear" w:color="auto" w:fill="FFFFFF"/>
        </w:rPr>
        <w:t>K.C.C.</w:t>
      </w:r>
      <w:r w:rsidR="0030323A" w:rsidRPr="001B1C7A">
        <w:rPr>
          <w:rFonts w:ascii="Garamond" w:hAnsi="Garamond"/>
          <w:color w:val="000000" w:themeColor="text1"/>
          <w:shd w:val="clear" w:color="auto" w:fill="FFFFFF"/>
        </w:rPr>
        <w:t xml:space="preserve"> represents the first U.S. interaction with the Middle East </w:t>
      </w:r>
      <w:r w:rsidR="00323CCB">
        <w:rPr>
          <w:rFonts w:ascii="Garamond" w:hAnsi="Garamond"/>
          <w:color w:val="000000" w:themeColor="text1"/>
          <w:shd w:val="clear" w:color="auto" w:fill="FFFFFF"/>
        </w:rPr>
        <w:t>after World War I</w:t>
      </w:r>
      <w:r w:rsidR="0030323A" w:rsidRPr="001B1C7A">
        <w:rPr>
          <w:rFonts w:ascii="Garamond" w:hAnsi="Garamond"/>
          <w:color w:val="000000" w:themeColor="text1"/>
          <w:shd w:val="clear" w:color="auto" w:fill="FFFFFF"/>
        </w:rPr>
        <w:t xml:space="preserve">, </w:t>
      </w:r>
      <w:r w:rsidR="009E289C">
        <w:rPr>
          <w:rFonts w:ascii="Garamond" w:hAnsi="Garamond"/>
          <w:color w:val="000000" w:themeColor="text1"/>
          <w:shd w:val="clear" w:color="auto" w:fill="FFFFFF"/>
        </w:rPr>
        <w:t>this paper’s analysis will show</w:t>
      </w:r>
      <w:r w:rsidR="0030323A" w:rsidRPr="001B1C7A">
        <w:rPr>
          <w:rFonts w:ascii="Garamond" w:hAnsi="Garamond"/>
          <w:color w:val="000000" w:themeColor="text1"/>
          <w:shd w:val="clear" w:color="auto" w:fill="FFFFFF"/>
        </w:rPr>
        <w:t xml:space="preserve"> how the </w:t>
      </w:r>
      <w:r w:rsidR="00C6532D">
        <w:rPr>
          <w:rFonts w:ascii="Garamond" w:hAnsi="Garamond"/>
          <w:color w:val="000000" w:themeColor="text1"/>
          <w:shd w:val="clear" w:color="auto" w:fill="FFFFFF"/>
        </w:rPr>
        <w:t>K.C.C.</w:t>
      </w:r>
      <w:r w:rsidR="0030323A" w:rsidRPr="001B1C7A">
        <w:rPr>
          <w:rFonts w:ascii="Garamond" w:hAnsi="Garamond"/>
          <w:color w:val="000000" w:themeColor="text1"/>
          <w:shd w:val="clear" w:color="auto" w:fill="FFFFFF"/>
        </w:rPr>
        <w:t>’s consternation concerning exclusionary European practices could have affected U.S. oil policy in the early 20</w:t>
      </w:r>
      <w:r w:rsidR="0030323A" w:rsidRPr="001B1C7A">
        <w:rPr>
          <w:rFonts w:ascii="Garamond" w:hAnsi="Garamond"/>
          <w:color w:val="000000" w:themeColor="text1"/>
          <w:shd w:val="clear" w:color="auto" w:fill="FFFFFF"/>
          <w:vertAlign w:val="superscript"/>
        </w:rPr>
        <w:t>th</w:t>
      </w:r>
      <w:r w:rsidR="0030323A" w:rsidRPr="001B1C7A">
        <w:rPr>
          <w:rFonts w:ascii="Garamond" w:hAnsi="Garamond"/>
          <w:color w:val="000000" w:themeColor="text1"/>
          <w:shd w:val="clear" w:color="auto" w:fill="FFFFFF"/>
        </w:rPr>
        <w:t xml:space="preserve"> century.</w:t>
      </w:r>
    </w:p>
    <w:p w14:paraId="52A8AD2F" w14:textId="77777777" w:rsidR="0030323A" w:rsidRDefault="0030323A" w:rsidP="0030323A">
      <w:pPr>
        <w:pStyle w:val="Heading1"/>
        <w:numPr>
          <w:ilvl w:val="0"/>
          <w:numId w:val="33"/>
        </w:numPr>
        <w:rPr>
          <w:rFonts w:ascii="Garamond" w:hAnsi="Garamond"/>
          <w:color w:val="000000" w:themeColor="text1"/>
        </w:rPr>
      </w:pPr>
      <w:bookmarkStart w:id="22" w:name="_Toc65613413"/>
      <w:bookmarkStart w:id="23" w:name="_Toc65844085"/>
      <w:bookmarkStart w:id="24" w:name="_Toc65844131"/>
      <w:bookmarkStart w:id="25" w:name="_Toc66731786"/>
      <w:bookmarkStart w:id="26" w:name="_Toc65613414"/>
      <w:bookmarkStart w:id="27" w:name="_Toc65844086"/>
      <w:bookmarkStart w:id="28" w:name="_Toc65844132"/>
      <w:bookmarkStart w:id="29" w:name="_Toc66731787"/>
      <w:bookmarkStart w:id="30" w:name="_Toc65613415"/>
      <w:bookmarkStart w:id="31" w:name="_Toc65844087"/>
      <w:bookmarkStart w:id="32" w:name="_Toc65844133"/>
      <w:bookmarkStart w:id="33" w:name="_Toc66731788"/>
      <w:bookmarkStart w:id="34" w:name="_Toc65613416"/>
      <w:bookmarkStart w:id="35" w:name="_Toc65844088"/>
      <w:bookmarkStart w:id="36" w:name="_Toc65844134"/>
      <w:bookmarkStart w:id="37" w:name="_Toc66731789"/>
      <w:bookmarkStart w:id="38" w:name="_Toc6673179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E92768">
        <w:rPr>
          <w:rFonts w:ascii="Garamond" w:hAnsi="Garamond"/>
          <w:color w:val="000000" w:themeColor="text1"/>
        </w:rPr>
        <w:t>Findings</w:t>
      </w:r>
      <w:bookmarkEnd w:id="38"/>
      <w:r w:rsidRPr="00E92768">
        <w:rPr>
          <w:rFonts w:ascii="Garamond" w:hAnsi="Garamond"/>
          <w:color w:val="000000" w:themeColor="text1"/>
        </w:rPr>
        <w:t xml:space="preserve"> </w:t>
      </w:r>
    </w:p>
    <w:p w14:paraId="2C08C5DB" w14:textId="77777777" w:rsidR="0030323A" w:rsidRPr="00E92768" w:rsidRDefault="0030323A" w:rsidP="0030323A">
      <w:pPr>
        <w:rPr>
          <w:lang w:bidi="en-US"/>
        </w:rPr>
      </w:pPr>
    </w:p>
    <w:p w14:paraId="679B3DF8" w14:textId="72F7EF96" w:rsidR="0030323A" w:rsidRDefault="00C6532D" w:rsidP="0030323A">
      <w:pPr>
        <w:pStyle w:val="Heading2"/>
        <w:numPr>
          <w:ilvl w:val="0"/>
          <w:numId w:val="34"/>
        </w:numPr>
        <w:rPr>
          <w:rFonts w:ascii="Garamond" w:hAnsi="Garamond"/>
          <w:color w:val="000000" w:themeColor="text1"/>
        </w:rPr>
      </w:pPr>
      <w:bookmarkStart w:id="39" w:name="_Toc66731791"/>
      <w:bookmarkStart w:id="40" w:name="findings"/>
      <w:r>
        <w:rPr>
          <w:rFonts w:ascii="Garamond" w:hAnsi="Garamond"/>
          <w:color w:val="000000" w:themeColor="text1"/>
        </w:rPr>
        <w:t>K.C.C.</w:t>
      </w:r>
      <w:r w:rsidR="0030323A" w:rsidRPr="00E92768">
        <w:rPr>
          <w:rFonts w:ascii="Garamond" w:hAnsi="Garamond"/>
          <w:color w:val="000000" w:themeColor="text1"/>
        </w:rPr>
        <w:t xml:space="preserve"> Chronology with Oil</w:t>
      </w:r>
      <w:bookmarkEnd w:id="39"/>
      <w:r w:rsidR="0030323A" w:rsidRPr="00E92768">
        <w:rPr>
          <w:rFonts w:ascii="Garamond" w:hAnsi="Garamond"/>
          <w:color w:val="000000" w:themeColor="text1"/>
        </w:rPr>
        <w:t xml:space="preserve"> </w:t>
      </w:r>
    </w:p>
    <w:p w14:paraId="49A54403" w14:textId="77777777" w:rsidR="0030323A" w:rsidRPr="00E92768" w:rsidRDefault="0030323A" w:rsidP="0030323A"/>
    <w:p w14:paraId="642EF6A9" w14:textId="2CAF3F92" w:rsidR="0030323A" w:rsidRDefault="0030323A" w:rsidP="0030323A">
      <w:pPr>
        <w:pStyle w:val="Heading3"/>
        <w:numPr>
          <w:ilvl w:val="0"/>
          <w:numId w:val="35"/>
        </w:numPr>
        <w:rPr>
          <w:rFonts w:ascii="Garamond" w:hAnsi="Garamond"/>
          <w:color w:val="000000" w:themeColor="text1"/>
        </w:rPr>
      </w:pPr>
      <w:bookmarkStart w:id="41" w:name="_Toc66731792"/>
      <w:r w:rsidRPr="00E92768">
        <w:rPr>
          <w:rFonts w:ascii="Garamond" w:hAnsi="Garamond"/>
          <w:color w:val="000000" w:themeColor="text1"/>
        </w:rPr>
        <w:t xml:space="preserve">William Westermann and the Nucleus of the </w:t>
      </w:r>
      <w:r w:rsidR="00C6532D">
        <w:rPr>
          <w:rFonts w:ascii="Garamond" w:hAnsi="Garamond"/>
          <w:color w:val="000000" w:themeColor="text1"/>
        </w:rPr>
        <w:t>K.C.C.</w:t>
      </w:r>
      <w:bookmarkEnd w:id="41"/>
    </w:p>
    <w:p w14:paraId="78B9ADD9" w14:textId="77777777" w:rsidR="0030323A" w:rsidRPr="00E92768" w:rsidRDefault="0030323A" w:rsidP="0030323A"/>
    <w:bookmarkEnd w:id="40"/>
    <w:p w14:paraId="064F52B9" w14:textId="37A32812" w:rsidR="0030323A" w:rsidRPr="001B1C7A" w:rsidRDefault="003E2321" w:rsidP="003E2321">
      <w:pPr>
        <w:spacing w:line="480" w:lineRule="auto"/>
        <w:ind w:firstLine="360"/>
        <w:rPr>
          <w:rFonts w:ascii="Garamond" w:hAnsi="Garamond"/>
          <w:color w:val="000000" w:themeColor="text1"/>
        </w:rPr>
      </w:pPr>
      <w:r>
        <w:rPr>
          <w:rFonts w:ascii="Garamond" w:hAnsi="Garamond"/>
          <w:color w:val="000000" w:themeColor="text1"/>
        </w:rPr>
        <w:lastRenderedPageBreak/>
        <w:t xml:space="preserve">William Westermann, Wilson’s advisor on Turkish affairs at the Peace Conference, ensured that </w:t>
      </w:r>
      <w:r w:rsidR="00C6532D">
        <w:rPr>
          <w:rFonts w:ascii="Garamond" w:hAnsi="Garamond"/>
          <w:color w:val="000000" w:themeColor="text1"/>
        </w:rPr>
        <w:t>Open Door</w:t>
      </w:r>
      <w:r>
        <w:rPr>
          <w:rFonts w:ascii="Garamond" w:hAnsi="Garamond"/>
          <w:color w:val="000000" w:themeColor="text1"/>
        </w:rPr>
        <w:t xml:space="preserve"> advocates attained positions on the </w:t>
      </w:r>
      <w:r w:rsidR="00C6532D">
        <w:rPr>
          <w:rFonts w:ascii="Garamond" w:hAnsi="Garamond"/>
          <w:color w:val="000000" w:themeColor="text1"/>
        </w:rPr>
        <w:t>K.C.C</w:t>
      </w:r>
      <w:r w:rsidR="0030323A" w:rsidRPr="001B1C7A">
        <w:rPr>
          <w:rFonts w:ascii="Garamond" w:hAnsi="Garamond"/>
          <w:color w:val="000000" w:themeColor="text1"/>
        </w:rPr>
        <w:t>.</w:t>
      </w:r>
      <w:r w:rsidR="00A844EB">
        <w:rPr>
          <w:rStyle w:val="FootnoteReference"/>
          <w:rFonts w:ascii="Garamond" w:hAnsi="Garamond"/>
          <w:color w:val="000000" w:themeColor="text1"/>
        </w:rPr>
        <w:footnoteReference w:id="94"/>
      </w:r>
      <w:r w:rsidR="0030323A" w:rsidRPr="001B1C7A">
        <w:rPr>
          <w:rFonts w:ascii="Garamond" w:hAnsi="Garamond"/>
          <w:color w:val="000000" w:themeColor="text1"/>
        </w:rPr>
        <w:t xml:space="preserve"> As noted by Patrick, Alfred Lybyer, the former Oberlin professor and Ottoman historian, </w:t>
      </w:r>
      <w:r w:rsidR="009C58FA">
        <w:rPr>
          <w:rFonts w:ascii="Garamond" w:hAnsi="Garamond"/>
          <w:color w:val="000000" w:themeColor="text1"/>
        </w:rPr>
        <w:t xml:space="preserve">had </w:t>
      </w:r>
      <w:r w:rsidR="0030323A" w:rsidRPr="001B1C7A">
        <w:rPr>
          <w:rFonts w:ascii="Garamond" w:hAnsi="Garamond"/>
          <w:color w:val="000000" w:themeColor="text1"/>
        </w:rPr>
        <w:t xml:space="preserve">attempted to recruit Westermann to the </w:t>
      </w:r>
      <w:r w:rsidR="00C6532D">
        <w:rPr>
          <w:rFonts w:ascii="Garamond" w:hAnsi="Garamond"/>
          <w:color w:val="000000" w:themeColor="text1"/>
        </w:rPr>
        <w:t>K.C.C.</w:t>
      </w:r>
      <w:r w:rsidR="0030323A" w:rsidRPr="001B1C7A">
        <w:rPr>
          <w:rFonts w:ascii="Garamond" w:hAnsi="Garamond"/>
          <w:color w:val="000000" w:themeColor="text1"/>
        </w:rPr>
        <w:t xml:space="preserve"> in early April 1919.</w:t>
      </w:r>
      <w:r w:rsidR="0030323A" w:rsidRPr="001B1C7A">
        <w:rPr>
          <w:rStyle w:val="FootnoteReference"/>
          <w:rFonts w:ascii="Garamond" w:hAnsi="Garamond"/>
          <w:color w:val="000000" w:themeColor="text1"/>
        </w:rPr>
        <w:footnoteReference w:id="95"/>
      </w:r>
      <w:r w:rsidR="0030323A" w:rsidRPr="001B1C7A">
        <w:rPr>
          <w:rFonts w:ascii="Garamond" w:hAnsi="Garamond"/>
          <w:color w:val="000000" w:themeColor="text1"/>
        </w:rPr>
        <w:t xml:space="preserve"> Westermann</w:t>
      </w:r>
      <w:r w:rsidR="0061242B">
        <w:rPr>
          <w:rFonts w:ascii="Garamond" w:hAnsi="Garamond"/>
          <w:color w:val="000000" w:themeColor="text1"/>
        </w:rPr>
        <w:t xml:space="preserve"> </w:t>
      </w:r>
      <w:r w:rsidR="0030323A" w:rsidRPr="001B1C7A">
        <w:rPr>
          <w:rFonts w:ascii="Garamond" w:hAnsi="Garamond"/>
          <w:color w:val="000000" w:themeColor="text1"/>
        </w:rPr>
        <w:t xml:space="preserve">turned down the position on the </w:t>
      </w:r>
      <w:r w:rsidR="00C6532D">
        <w:rPr>
          <w:rFonts w:ascii="Garamond" w:hAnsi="Garamond"/>
          <w:color w:val="000000" w:themeColor="text1"/>
        </w:rPr>
        <w:t>K.C.C.</w:t>
      </w:r>
      <w:r w:rsidR="0030323A" w:rsidRPr="001B1C7A">
        <w:rPr>
          <w:rFonts w:ascii="Garamond" w:hAnsi="Garamond"/>
          <w:color w:val="000000" w:themeColor="text1"/>
        </w:rPr>
        <w:t xml:space="preserve"> thinking it would prove ineffectual</w:t>
      </w:r>
      <w:r w:rsidR="00227ABC">
        <w:rPr>
          <w:rFonts w:ascii="Garamond" w:hAnsi="Garamond"/>
          <w:color w:val="000000" w:themeColor="text1"/>
        </w:rPr>
        <w:t xml:space="preserve"> because of </w:t>
      </w:r>
      <w:r w:rsidR="009C58FA">
        <w:rPr>
          <w:rFonts w:ascii="Garamond" w:hAnsi="Garamond"/>
          <w:color w:val="000000" w:themeColor="text1"/>
        </w:rPr>
        <w:t xml:space="preserve">predetermined </w:t>
      </w:r>
      <w:r w:rsidR="00227ABC">
        <w:rPr>
          <w:rFonts w:ascii="Garamond" w:hAnsi="Garamond"/>
          <w:color w:val="000000" w:themeColor="text1"/>
        </w:rPr>
        <w:t>agreements</w:t>
      </w:r>
      <w:r w:rsidR="009C58FA">
        <w:rPr>
          <w:rFonts w:ascii="Garamond" w:hAnsi="Garamond"/>
          <w:color w:val="000000" w:themeColor="text1"/>
        </w:rPr>
        <w:t xml:space="preserve">, such as </w:t>
      </w:r>
      <w:r w:rsidR="00227ABC">
        <w:rPr>
          <w:rFonts w:ascii="Garamond" w:hAnsi="Garamond"/>
          <w:color w:val="000000" w:themeColor="text1"/>
        </w:rPr>
        <w:t>Sykes – Picot</w:t>
      </w:r>
      <w:r w:rsidR="0030323A" w:rsidRPr="001B1C7A">
        <w:rPr>
          <w:rFonts w:ascii="Garamond" w:hAnsi="Garamond"/>
          <w:color w:val="000000" w:themeColor="text1"/>
        </w:rPr>
        <w:t>.</w:t>
      </w:r>
      <w:r w:rsidR="0030323A" w:rsidRPr="001B1C7A">
        <w:rPr>
          <w:rStyle w:val="FootnoteReference"/>
          <w:rFonts w:ascii="Garamond" w:hAnsi="Garamond"/>
          <w:color w:val="000000" w:themeColor="text1"/>
        </w:rPr>
        <w:footnoteReference w:id="96"/>
      </w:r>
      <w:r w:rsidR="0030323A" w:rsidRPr="001B1C7A">
        <w:rPr>
          <w:rFonts w:ascii="Garamond" w:hAnsi="Garamond"/>
          <w:color w:val="000000" w:themeColor="text1"/>
        </w:rPr>
        <w:t xml:space="preserve"> Despite Westermann’s dismissal of Lybyer’s request, he still positioned himself to influence the </w:t>
      </w:r>
      <w:r w:rsidR="00C6532D">
        <w:rPr>
          <w:rFonts w:ascii="Garamond" w:hAnsi="Garamond"/>
          <w:color w:val="000000" w:themeColor="text1"/>
        </w:rPr>
        <w:t>K.C.C.</w:t>
      </w:r>
      <w:r w:rsidR="0030323A" w:rsidRPr="001B1C7A">
        <w:rPr>
          <w:rFonts w:ascii="Garamond" w:hAnsi="Garamond"/>
          <w:color w:val="000000" w:themeColor="text1"/>
        </w:rPr>
        <w:t xml:space="preserve"> through William Yale and George Montgomery. In a diary entry on April 23, 1919, Westermann writes “Montgomery and Yale will be named to go on the American Commission. So I shall feel that all my work was not lost as they will have the knowledge of the office and of our plans in their heads.”</w:t>
      </w:r>
      <w:r w:rsidR="0030323A" w:rsidRPr="001B1C7A">
        <w:rPr>
          <w:rStyle w:val="FootnoteReference"/>
          <w:rFonts w:ascii="Garamond" w:hAnsi="Garamond"/>
          <w:color w:val="000000" w:themeColor="text1"/>
        </w:rPr>
        <w:footnoteReference w:id="97"/>
      </w:r>
      <w:r w:rsidR="0030323A" w:rsidRPr="001B1C7A">
        <w:rPr>
          <w:rFonts w:ascii="Garamond" w:hAnsi="Garamond"/>
          <w:color w:val="000000" w:themeColor="text1"/>
        </w:rPr>
        <w:t xml:space="preserve"> Westermann was starkly aware of European conniving in the Middle East; on April 25, 1919 Westermann told the </w:t>
      </w:r>
      <w:r w:rsidR="00623699">
        <w:rPr>
          <w:rFonts w:ascii="Garamond" w:hAnsi="Garamond"/>
          <w:color w:val="000000" w:themeColor="text1"/>
        </w:rPr>
        <w:t>potential</w:t>
      </w:r>
      <w:r w:rsidR="0030323A" w:rsidRPr="001B1C7A">
        <w:rPr>
          <w:rFonts w:ascii="Garamond" w:hAnsi="Garamond"/>
          <w:color w:val="000000" w:themeColor="text1"/>
        </w:rPr>
        <w:t xml:space="preserve"> Commissioners in a briefing that “the British were seeking to control the petroleum area of {Mesopotamia} and that this was ‘not by accident’.”</w:t>
      </w:r>
      <w:r w:rsidR="0030323A" w:rsidRPr="001B1C7A">
        <w:rPr>
          <w:rStyle w:val="FootnoteReference"/>
          <w:rFonts w:ascii="Garamond" w:hAnsi="Garamond"/>
          <w:color w:val="000000" w:themeColor="text1"/>
        </w:rPr>
        <w:footnoteReference w:id="98"/>
      </w:r>
      <w:r w:rsidR="0030323A" w:rsidRPr="001B1C7A">
        <w:rPr>
          <w:rFonts w:ascii="Garamond" w:hAnsi="Garamond"/>
          <w:color w:val="000000" w:themeColor="text1"/>
        </w:rPr>
        <w:t xml:space="preserve"> Westermann’s journal entry of “the knowledge of the office and of our plans” </w:t>
      </w:r>
      <w:r w:rsidR="00623699">
        <w:rPr>
          <w:rFonts w:ascii="Garamond" w:hAnsi="Garamond"/>
          <w:color w:val="000000" w:themeColor="text1"/>
        </w:rPr>
        <w:t>suggests</w:t>
      </w:r>
      <w:r w:rsidR="0030323A" w:rsidRPr="001B1C7A">
        <w:rPr>
          <w:rFonts w:ascii="Garamond" w:hAnsi="Garamond"/>
          <w:color w:val="000000" w:themeColor="text1"/>
        </w:rPr>
        <w:t xml:space="preserve"> that he recommended Yale and Montgomery </w:t>
      </w:r>
      <w:r w:rsidR="00623699">
        <w:rPr>
          <w:rFonts w:ascii="Garamond" w:hAnsi="Garamond"/>
          <w:color w:val="000000" w:themeColor="text1"/>
        </w:rPr>
        <w:t>with</w:t>
      </w:r>
      <w:r w:rsidR="0030323A" w:rsidRPr="001B1C7A">
        <w:rPr>
          <w:rFonts w:ascii="Garamond" w:hAnsi="Garamond"/>
          <w:color w:val="000000" w:themeColor="text1"/>
        </w:rPr>
        <w:t xml:space="preserve"> the expectation that they would further </w:t>
      </w:r>
      <w:r w:rsidR="00623699">
        <w:rPr>
          <w:rFonts w:ascii="Garamond" w:hAnsi="Garamond"/>
          <w:color w:val="000000" w:themeColor="text1"/>
        </w:rPr>
        <w:t>his office’s agenda</w:t>
      </w:r>
      <w:r w:rsidR="0030323A" w:rsidRPr="001B1C7A">
        <w:rPr>
          <w:rFonts w:ascii="Garamond" w:hAnsi="Garamond"/>
          <w:color w:val="000000" w:themeColor="text1"/>
        </w:rPr>
        <w:t xml:space="preserve">. As Westermann focused on British oil monopolies in his April 25 presentation, and extensively wrote about oil politics in </w:t>
      </w:r>
      <w:r w:rsidR="0061242B">
        <w:rPr>
          <w:rFonts w:ascii="Garamond" w:hAnsi="Garamond"/>
          <w:color w:val="000000" w:themeColor="text1"/>
        </w:rPr>
        <w:t xml:space="preserve">his </w:t>
      </w:r>
      <w:r w:rsidR="0030323A" w:rsidRPr="001B1C7A">
        <w:rPr>
          <w:rFonts w:ascii="Garamond" w:hAnsi="Garamond"/>
          <w:color w:val="000000" w:themeColor="text1"/>
        </w:rPr>
        <w:t>personal diary, this agenda most likely included principles that would see the breakup of a British oil monopoly in Mesopotamia</w:t>
      </w:r>
      <w:r w:rsidR="009C58FA">
        <w:rPr>
          <w:rFonts w:ascii="Garamond" w:hAnsi="Garamond"/>
          <w:color w:val="000000" w:themeColor="text1"/>
        </w:rPr>
        <w:t xml:space="preserve"> </w:t>
      </w:r>
      <w:r w:rsidR="00270C7B">
        <w:rPr>
          <w:rFonts w:ascii="Garamond" w:hAnsi="Garamond"/>
          <w:color w:val="000000" w:themeColor="text1"/>
        </w:rPr>
        <w:t>t</w:t>
      </w:r>
      <w:r w:rsidR="009C58FA">
        <w:rPr>
          <w:rFonts w:ascii="Garamond" w:hAnsi="Garamond"/>
          <w:color w:val="000000" w:themeColor="text1"/>
        </w:rPr>
        <w:t xml:space="preserve">o the benefit of the United States </w:t>
      </w:r>
      <w:r w:rsidR="00270C7B">
        <w:rPr>
          <w:rFonts w:ascii="Garamond" w:hAnsi="Garamond"/>
          <w:color w:val="000000" w:themeColor="text1"/>
        </w:rPr>
        <w:t xml:space="preserve">and its navy – or </w:t>
      </w:r>
      <w:r w:rsidR="009C58FA">
        <w:rPr>
          <w:rFonts w:ascii="Garamond" w:hAnsi="Garamond"/>
          <w:color w:val="000000" w:themeColor="text1"/>
        </w:rPr>
        <w:t>its national security</w:t>
      </w:r>
      <w:r w:rsidR="0030323A" w:rsidRPr="001B1C7A">
        <w:rPr>
          <w:rFonts w:ascii="Garamond" w:hAnsi="Garamond"/>
          <w:color w:val="000000" w:themeColor="text1"/>
        </w:rPr>
        <w:t xml:space="preserve">. Westermann, moreover, selected Yale, an expert with a deep knowledge of oil, to further this thinking </w:t>
      </w:r>
      <w:r w:rsidR="00E97087">
        <w:rPr>
          <w:rFonts w:ascii="Garamond" w:hAnsi="Garamond"/>
          <w:color w:val="000000" w:themeColor="text1"/>
        </w:rPr>
        <w:t>during the</w:t>
      </w:r>
      <w:r w:rsidR="0030323A" w:rsidRPr="001B1C7A">
        <w:rPr>
          <w:rFonts w:ascii="Garamond" w:hAnsi="Garamond"/>
          <w:color w:val="000000" w:themeColor="text1"/>
        </w:rPr>
        <w:t xml:space="preserve"> Commission. Further this thinking Yale did. </w:t>
      </w:r>
    </w:p>
    <w:p w14:paraId="2C254479" w14:textId="4CB13750"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Yale was a staunch advocate that European oil monopolies would hurt American oil interests and that the U.S. needed to respond </w:t>
      </w:r>
      <w:r w:rsidR="00270C7B">
        <w:rPr>
          <w:rFonts w:ascii="Garamond" w:hAnsi="Garamond"/>
          <w:color w:val="000000" w:themeColor="text1"/>
        </w:rPr>
        <w:t xml:space="preserve">adequately </w:t>
      </w:r>
      <w:r w:rsidRPr="001B1C7A">
        <w:rPr>
          <w:rFonts w:ascii="Garamond" w:hAnsi="Garamond"/>
          <w:color w:val="000000" w:themeColor="text1"/>
        </w:rPr>
        <w:t xml:space="preserve">to European machinations. Before Westermann recommended Yale to the </w:t>
      </w:r>
      <w:r w:rsidR="000A4A70">
        <w:rPr>
          <w:rFonts w:ascii="Garamond" w:hAnsi="Garamond"/>
          <w:color w:val="000000" w:themeColor="text1"/>
        </w:rPr>
        <w:t>K.C.C</w:t>
      </w:r>
      <w:r w:rsidRPr="001B1C7A">
        <w:rPr>
          <w:rFonts w:ascii="Garamond" w:hAnsi="Garamond"/>
          <w:color w:val="000000" w:themeColor="text1"/>
        </w:rPr>
        <w:t xml:space="preserve">, Yale acted as the U.S.’s intelligence attaché to General Allenby’s </w:t>
      </w:r>
      <w:r w:rsidRPr="001B1C7A">
        <w:rPr>
          <w:rFonts w:ascii="Garamond" w:hAnsi="Garamond"/>
          <w:color w:val="000000" w:themeColor="text1"/>
        </w:rPr>
        <w:lastRenderedPageBreak/>
        <w:t>army during the British’s conquest of Palestine</w:t>
      </w:r>
      <w:r w:rsidR="00270C7B">
        <w:rPr>
          <w:rFonts w:ascii="Garamond" w:hAnsi="Garamond"/>
          <w:color w:val="000000" w:themeColor="text1"/>
        </w:rPr>
        <w:t xml:space="preserve">. He </w:t>
      </w:r>
      <w:r w:rsidR="007C3DC4">
        <w:rPr>
          <w:rFonts w:ascii="Garamond" w:hAnsi="Garamond"/>
          <w:color w:val="000000" w:themeColor="text1"/>
        </w:rPr>
        <w:t xml:space="preserve">had </w:t>
      </w:r>
      <w:r w:rsidR="00270C7B">
        <w:rPr>
          <w:rFonts w:ascii="Garamond" w:hAnsi="Garamond"/>
          <w:color w:val="000000" w:themeColor="text1"/>
        </w:rPr>
        <w:t xml:space="preserve">also </w:t>
      </w:r>
      <w:r w:rsidR="007C3DC4">
        <w:rPr>
          <w:rFonts w:ascii="Garamond" w:hAnsi="Garamond"/>
          <w:color w:val="000000" w:themeColor="text1"/>
        </w:rPr>
        <w:t xml:space="preserve">worked for Standard Oil in Palestine before </w:t>
      </w:r>
      <w:r w:rsidR="00270C7B">
        <w:rPr>
          <w:rFonts w:ascii="Garamond" w:hAnsi="Garamond"/>
          <w:color w:val="000000" w:themeColor="text1"/>
        </w:rPr>
        <w:t>World War I</w:t>
      </w:r>
      <w:r w:rsidRPr="001B1C7A">
        <w:rPr>
          <w:rFonts w:ascii="Garamond" w:hAnsi="Garamond"/>
          <w:color w:val="000000" w:themeColor="text1"/>
        </w:rPr>
        <w:t>.</w:t>
      </w:r>
      <w:r w:rsidRPr="001B1C7A">
        <w:rPr>
          <w:rStyle w:val="FootnoteReference"/>
          <w:rFonts w:ascii="Garamond" w:hAnsi="Garamond"/>
          <w:color w:val="000000" w:themeColor="text1"/>
        </w:rPr>
        <w:footnoteReference w:id="99"/>
      </w:r>
      <w:r w:rsidRPr="001B1C7A">
        <w:rPr>
          <w:rFonts w:ascii="Garamond" w:hAnsi="Garamond"/>
          <w:color w:val="000000" w:themeColor="text1"/>
        </w:rPr>
        <w:t xml:space="preserve"> Yale therefore brought a great deal of knowledge concerning European Middle Eastern activities and oil politics to the Commission. </w:t>
      </w:r>
    </w:p>
    <w:p w14:paraId="2CC09174" w14:textId="77777777" w:rsidR="0030323A" w:rsidRDefault="0030323A" w:rsidP="0030323A">
      <w:pPr>
        <w:pStyle w:val="Heading3"/>
        <w:numPr>
          <w:ilvl w:val="0"/>
          <w:numId w:val="35"/>
        </w:numPr>
        <w:rPr>
          <w:rFonts w:ascii="Garamond" w:hAnsi="Garamond"/>
          <w:color w:val="000000" w:themeColor="text1"/>
        </w:rPr>
      </w:pPr>
      <w:bookmarkStart w:id="42" w:name="_Toc66731793"/>
      <w:r w:rsidRPr="00E92768">
        <w:rPr>
          <w:rFonts w:ascii="Garamond" w:hAnsi="Garamond"/>
          <w:color w:val="000000" w:themeColor="text1"/>
        </w:rPr>
        <w:t>April 1919: Yale’s Meeting with Picot</w:t>
      </w:r>
      <w:bookmarkEnd w:id="42"/>
      <w:r w:rsidRPr="00E92768">
        <w:rPr>
          <w:rFonts w:ascii="Garamond" w:hAnsi="Garamond"/>
          <w:color w:val="000000" w:themeColor="text1"/>
        </w:rPr>
        <w:t xml:space="preserve"> </w:t>
      </w:r>
    </w:p>
    <w:p w14:paraId="7298CB28" w14:textId="77777777" w:rsidR="0030323A" w:rsidRPr="00E92768" w:rsidRDefault="0030323A" w:rsidP="0030323A"/>
    <w:p w14:paraId="07C80941" w14:textId="4108B43E" w:rsidR="00270C7B" w:rsidRDefault="0030323A" w:rsidP="0030323A">
      <w:pPr>
        <w:spacing w:line="480" w:lineRule="auto"/>
        <w:rPr>
          <w:rFonts w:ascii="Garamond" w:hAnsi="Garamond"/>
          <w:color w:val="000000" w:themeColor="text1"/>
        </w:rPr>
      </w:pPr>
      <w:r w:rsidRPr="001B1C7A">
        <w:rPr>
          <w:rFonts w:ascii="Garamond" w:hAnsi="Garamond"/>
          <w:color w:val="000000" w:themeColor="text1"/>
        </w:rPr>
        <w:tab/>
        <w:t>Yale’s first interaction with oil-associated actors during his time as a Commissioner occurred on April 17, 1919</w:t>
      </w:r>
      <w:r w:rsidR="00CD37FF">
        <w:rPr>
          <w:rFonts w:ascii="Garamond" w:hAnsi="Garamond"/>
          <w:color w:val="000000" w:themeColor="text1"/>
        </w:rPr>
        <w:t xml:space="preserve">, </w:t>
      </w:r>
      <w:r w:rsidRPr="001B1C7A">
        <w:rPr>
          <w:rFonts w:ascii="Garamond" w:hAnsi="Garamond"/>
          <w:color w:val="000000" w:themeColor="text1"/>
        </w:rPr>
        <w:t xml:space="preserve">when </w:t>
      </w:r>
      <w:r w:rsidR="00CD37FF">
        <w:rPr>
          <w:rFonts w:ascii="Garamond" w:hAnsi="Garamond"/>
          <w:color w:val="000000" w:themeColor="text1"/>
        </w:rPr>
        <w:t>he</w:t>
      </w:r>
      <w:r w:rsidRPr="001B1C7A">
        <w:rPr>
          <w:rFonts w:ascii="Garamond" w:hAnsi="Garamond"/>
          <w:color w:val="000000" w:themeColor="text1"/>
        </w:rPr>
        <w:t xml:space="preserve"> met with Georges</w:t>
      </w:r>
      <w:r w:rsidR="009A3861">
        <w:rPr>
          <w:rFonts w:ascii="Garamond" w:hAnsi="Garamond"/>
          <w:color w:val="000000" w:themeColor="text1"/>
        </w:rPr>
        <w:t xml:space="preserve"> </w:t>
      </w:r>
      <w:r w:rsidRPr="001B1C7A">
        <w:rPr>
          <w:rFonts w:ascii="Garamond" w:hAnsi="Garamond"/>
          <w:color w:val="000000" w:themeColor="text1"/>
        </w:rPr>
        <w:t>Picot.</w:t>
      </w:r>
      <w:r w:rsidRPr="001B1C7A">
        <w:rPr>
          <w:rStyle w:val="FootnoteReference"/>
          <w:rFonts w:ascii="Garamond" w:hAnsi="Garamond"/>
          <w:color w:val="000000" w:themeColor="text1"/>
        </w:rPr>
        <w:footnoteReference w:id="100"/>
      </w:r>
      <w:r w:rsidRPr="001B1C7A">
        <w:rPr>
          <w:rFonts w:ascii="Garamond" w:hAnsi="Garamond"/>
          <w:color w:val="000000" w:themeColor="text1"/>
        </w:rPr>
        <w:t xml:space="preserve"> Picot was </w:t>
      </w:r>
      <w:r w:rsidR="00270C7B">
        <w:rPr>
          <w:rFonts w:ascii="Garamond" w:hAnsi="Garamond"/>
          <w:color w:val="000000" w:themeColor="text1"/>
        </w:rPr>
        <w:t xml:space="preserve">the namesake </w:t>
      </w:r>
      <w:r w:rsidRPr="001B1C7A">
        <w:rPr>
          <w:rFonts w:ascii="Garamond" w:hAnsi="Garamond"/>
          <w:color w:val="000000" w:themeColor="text1"/>
        </w:rPr>
        <w:t>of the Sykes – Picot agreement</w:t>
      </w:r>
      <w:r w:rsidR="007C3DC4">
        <w:rPr>
          <w:rFonts w:ascii="Garamond" w:hAnsi="Garamond"/>
          <w:color w:val="000000" w:themeColor="text1"/>
        </w:rPr>
        <w:t xml:space="preserve">. </w:t>
      </w:r>
      <w:r w:rsidRPr="001B1C7A">
        <w:rPr>
          <w:rFonts w:ascii="Garamond" w:hAnsi="Garamond"/>
          <w:color w:val="000000" w:themeColor="text1"/>
        </w:rPr>
        <w:t>In the conversation, Picot rehashe</w:t>
      </w:r>
      <w:r w:rsidR="009A3861">
        <w:rPr>
          <w:rFonts w:ascii="Garamond" w:hAnsi="Garamond"/>
          <w:color w:val="000000" w:themeColor="text1"/>
        </w:rPr>
        <w:t>d</w:t>
      </w:r>
      <w:r w:rsidRPr="001B1C7A">
        <w:rPr>
          <w:rFonts w:ascii="Garamond" w:hAnsi="Garamond"/>
          <w:color w:val="000000" w:themeColor="text1"/>
        </w:rPr>
        <w:t xml:space="preserve"> several of his previous initiatives to Yale.</w:t>
      </w:r>
      <w:r w:rsidRPr="001B1C7A">
        <w:rPr>
          <w:rStyle w:val="FootnoteReference"/>
          <w:rFonts w:ascii="Garamond" w:hAnsi="Garamond"/>
          <w:color w:val="000000" w:themeColor="text1"/>
        </w:rPr>
        <w:footnoteReference w:id="101"/>
      </w:r>
      <w:r w:rsidRPr="001B1C7A">
        <w:rPr>
          <w:rFonts w:ascii="Garamond" w:hAnsi="Garamond"/>
          <w:color w:val="000000" w:themeColor="text1"/>
        </w:rPr>
        <w:t xml:space="preserve"> According to Yale</w:t>
      </w:r>
      <w:r w:rsidR="0061242B">
        <w:rPr>
          <w:rFonts w:ascii="Garamond" w:hAnsi="Garamond"/>
          <w:color w:val="000000" w:themeColor="text1"/>
        </w:rPr>
        <w:t>,</w:t>
      </w:r>
      <w:r w:rsidRPr="001B1C7A">
        <w:rPr>
          <w:rFonts w:ascii="Garamond" w:hAnsi="Garamond"/>
          <w:color w:val="000000" w:themeColor="text1"/>
        </w:rPr>
        <w:t xml:space="preserve"> “M. Picot said that he felt sure that the French and Feisal could come to an agreement satisfactory to both.”</w:t>
      </w:r>
      <w:r w:rsidRPr="001B1C7A">
        <w:rPr>
          <w:rStyle w:val="FootnoteReference"/>
          <w:rFonts w:ascii="Garamond" w:hAnsi="Garamond"/>
          <w:color w:val="000000" w:themeColor="text1"/>
        </w:rPr>
        <w:footnoteReference w:id="102"/>
      </w:r>
      <w:r w:rsidRPr="001B1C7A">
        <w:rPr>
          <w:rFonts w:ascii="Garamond" w:hAnsi="Garamond"/>
          <w:color w:val="000000" w:themeColor="text1"/>
        </w:rPr>
        <w:t xml:space="preserve"> Not only </w:t>
      </w:r>
      <w:r w:rsidR="009A3861" w:rsidRPr="001B1C7A">
        <w:rPr>
          <w:rFonts w:ascii="Garamond" w:hAnsi="Garamond"/>
          <w:color w:val="000000" w:themeColor="text1"/>
        </w:rPr>
        <w:t>d</w:t>
      </w:r>
      <w:r w:rsidR="009A3861">
        <w:rPr>
          <w:rFonts w:ascii="Garamond" w:hAnsi="Garamond"/>
          <w:color w:val="000000" w:themeColor="text1"/>
        </w:rPr>
        <w:t>id</w:t>
      </w:r>
      <w:r w:rsidR="009A3861" w:rsidRPr="001B1C7A">
        <w:rPr>
          <w:rFonts w:ascii="Garamond" w:hAnsi="Garamond"/>
          <w:color w:val="000000" w:themeColor="text1"/>
        </w:rPr>
        <w:t xml:space="preserve"> </w:t>
      </w:r>
      <w:r w:rsidRPr="001B1C7A">
        <w:rPr>
          <w:rFonts w:ascii="Garamond" w:hAnsi="Garamond"/>
          <w:color w:val="000000" w:themeColor="text1"/>
        </w:rPr>
        <w:t xml:space="preserve">Picot’s comment contradict the </w:t>
      </w:r>
      <w:r w:rsidR="00C6532D">
        <w:rPr>
          <w:rFonts w:ascii="Garamond" w:hAnsi="Garamond"/>
          <w:color w:val="000000" w:themeColor="text1"/>
        </w:rPr>
        <w:t>K.C.C.</w:t>
      </w:r>
      <w:r w:rsidRPr="001B1C7A">
        <w:rPr>
          <w:rFonts w:ascii="Garamond" w:hAnsi="Garamond"/>
          <w:color w:val="000000" w:themeColor="text1"/>
        </w:rPr>
        <w:t>’s objectives of discerning the will of the Syrian people, it implie</w:t>
      </w:r>
      <w:r w:rsidR="00270C7B">
        <w:rPr>
          <w:rFonts w:ascii="Garamond" w:hAnsi="Garamond"/>
          <w:color w:val="000000" w:themeColor="text1"/>
        </w:rPr>
        <w:t xml:space="preserve">d </w:t>
      </w:r>
      <w:r w:rsidRPr="001B1C7A">
        <w:rPr>
          <w:rFonts w:ascii="Garamond" w:hAnsi="Garamond"/>
          <w:color w:val="000000" w:themeColor="text1"/>
        </w:rPr>
        <w:t>America’s interdiction from the Middle East</w:t>
      </w:r>
      <w:r w:rsidR="00270C7B">
        <w:rPr>
          <w:rFonts w:ascii="Garamond" w:hAnsi="Garamond"/>
          <w:color w:val="000000" w:themeColor="text1"/>
        </w:rPr>
        <w:t>;</w:t>
      </w:r>
      <w:r w:rsidRPr="001B1C7A">
        <w:rPr>
          <w:rFonts w:ascii="Garamond" w:hAnsi="Garamond"/>
          <w:color w:val="000000" w:themeColor="text1"/>
        </w:rPr>
        <w:t xml:space="preserve"> a Franco – Syrian agreement would circumvent the need for American diplomatic involvement. Picot’s comment also underline</w:t>
      </w:r>
      <w:r w:rsidR="007C3DC4">
        <w:rPr>
          <w:rFonts w:ascii="Garamond" w:hAnsi="Garamond"/>
          <w:color w:val="000000" w:themeColor="text1"/>
        </w:rPr>
        <w:t>d</w:t>
      </w:r>
      <w:r w:rsidRPr="001B1C7A">
        <w:rPr>
          <w:rFonts w:ascii="Garamond" w:hAnsi="Garamond"/>
          <w:color w:val="000000" w:themeColor="text1"/>
        </w:rPr>
        <w:t xml:space="preserve"> the endurance of the Sykes – Picot, which stipulate</w:t>
      </w:r>
      <w:r w:rsidR="007C3DC4">
        <w:rPr>
          <w:rFonts w:ascii="Garamond" w:hAnsi="Garamond"/>
          <w:color w:val="000000" w:themeColor="text1"/>
        </w:rPr>
        <w:t>d</w:t>
      </w:r>
      <w:r w:rsidRPr="001B1C7A">
        <w:rPr>
          <w:rFonts w:ascii="Garamond" w:hAnsi="Garamond"/>
          <w:color w:val="000000" w:themeColor="text1"/>
        </w:rPr>
        <w:t xml:space="preserve"> the U. S’s </w:t>
      </w:r>
      <w:r w:rsidR="00270C7B">
        <w:rPr>
          <w:rFonts w:ascii="Garamond" w:hAnsi="Garamond"/>
          <w:color w:val="000000" w:themeColor="text1"/>
        </w:rPr>
        <w:t>exclusion</w:t>
      </w:r>
      <w:r w:rsidRPr="001B1C7A">
        <w:rPr>
          <w:rFonts w:ascii="Garamond" w:hAnsi="Garamond"/>
          <w:color w:val="000000" w:themeColor="text1"/>
        </w:rPr>
        <w:t xml:space="preserve"> from Mesopotamia and</w:t>
      </w:r>
      <w:r w:rsidR="00270C7B">
        <w:rPr>
          <w:rFonts w:ascii="Garamond" w:hAnsi="Garamond"/>
          <w:color w:val="000000" w:themeColor="text1"/>
        </w:rPr>
        <w:t xml:space="preserve"> </w:t>
      </w:r>
      <w:r w:rsidRPr="001B1C7A">
        <w:rPr>
          <w:rFonts w:ascii="Garamond" w:hAnsi="Garamond"/>
          <w:color w:val="000000" w:themeColor="text1"/>
        </w:rPr>
        <w:t xml:space="preserve">its oil. </w:t>
      </w:r>
    </w:p>
    <w:p w14:paraId="6AB6AA53" w14:textId="25214104" w:rsidR="0030323A" w:rsidRPr="001B1C7A" w:rsidRDefault="0030323A" w:rsidP="00270C7B">
      <w:pPr>
        <w:spacing w:line="480" w:lineRule="auto"/>
        <w:ind w:firstLine="720"/>
        <w:rPr>
          <w:rFonts w:ascii="Garamond" w:hAnsi="Garamond"/>
          <w:color w:val="000000" w:themeColor="text1"/>
        </w:rPr>
      </w:pPr>
      <w:r w:rsidRPr="001B1C7A">
        <w:rPr>
          <w:rFonts w:ascii="Garamond" w:hAnsi="Garamond"/>
          <w:color w:val="000000" w:themeColor="text1"/>
        </w:rPr>
        <w:t>Picot continues to say that “In regard to Anatolia … the Turkish government should be given only European advice and be under European supervision.”</w:t>
      </w:r>
      <w:r w:rsidRPr="001B1C7A">
        <w:rPr>
          <w:rStyle w:val="FootnoteReference"/>
          <w:rFonts w:ascii="Garamond" w:hAnsi="Garamond"/>
          <w:color w:val="000000" w:themeColor="text1"/>
        </w:rPr>
        <w:footnoteReference w:id="103"/>
      </w:r>
      <w:r w:rsidRPr="001B1C7A">
        <w:rPr>
          <w:rFonts w:ascii="Garamond" w:hAnsi="Garamond"/>
          <w:color w:val="000000" w:themeColor="text1"/>
        </w:rPr>
        <w:t xml:space="preserve"> He extrapolates upon this in saying that the Italians would not be able to control the Turks, insinuating that “European” really means British and French. Although Picot does not mention Mesopotamia by name, the British and French had attained the T</w:t>
      </w:r>
      <w:r w:rsidR="00623699">
        <w:rPr>
          <w:rFonts w:ascii="Garamond" w:hAnsi="Garamond"/>
          <w:color w:val="000000" w:themeColor="text1"/>
        </w:rPr>
        <w:t xml:space="preserve">urkish Petroleum Company </w:t>
      </w:r>
      <w:r w:rsidRPr="001B1C7A">
        <w:rPr>
          <w:rFonts w:ascii="Garamond" w:hAnsi="Garamond"/>
          <w:color w:val="000000" w:themeColor="text1"/>
        </w:rPr>
        <w:t xml:space="preserve">oil concession in Mesopotamia from the Ottoman Turkish government. Any outside interference in post - Ottoman Turkish affairs, especially American, would have complicated the concession’s status – which is why Picot was averse to American involvement in Anatolia. As noted by Kent, the British agreed to French participation in the T.P.C. because France would have questioned the legality of a Mesopotamian </w:t>
      </w:r>
      <w:r w:rsidRPr="001B1C7A">
        <w:rPr>
          <w:rFonts w:ascii="Garamond" w:hAnsi="Garamond"/>
          <w:color w:val="000000" w:themeColor="text1"/>
        </w:rPr>
        <w:lastRenderedPageBreak/>
        <w:t>concession</w:t>
      </w:r>
      <w:r w:rsidR="0086466B">
        <w:rPr>
          <w:rFonts w:ascii="Garamond" w:hAnsi="Garamond"/>
          <w:color w:val="000000" w:themeColor="text1"/>
        </w:rPr>
        <w:t>,</w:t>
      </w:r>
      <w:r w:rsidRPr="001B1C7A">
        <w:rPr>
          <w:rFonts w:ascii="Garamond" w:hAnsi="Garamond"/>
          <w:color w:val="000000" w:themeColor="text1"/>
        </w:rPr>
        <w:t xml:space="preserve"> from a pre – war Ottoman government</w:t>
      </w:r>
      <w:r w:rsidR="0086466B">
        <w:rPr>
          <w:rFonts w:ascii="Garamond" w:hAnsi="Garamond"/>
          <w:color w:val="000000" w:themeColor="text1"/>
        </w:rPr>
        <w:t>,</w:t>
      </w:r>
      <w:r w:rsidRPr="001B1C7A">
        <w:rPr>
          <w:rFonts w:ascii="Garamond" w:hAnsi="Garamond"/>
          <w:color w:val="000000" w:themeColor="text1"/>
        </w:rPr>
        <w:t xml:space="preserve"> if not involved.</w:t>
      </w:r>
      <w:r w:rsidRPr="001B1C7A">
        <w:rPr>
          <w:rStyle w:val="FootnoteReference"/>
          <w:rFonts w:ascii="Garamond" w:hAnsi="Garamond"/>
          <w:color w:val="000000" w:themeColor="text1"/>
        </w:rPr>
        <w:footnoteReference w:id="104"/>
      </w:r>
      <w:r w:rsidRPr="001B1C7A">
        <w:rPr>
          <w:rFonts w:ascii="Garamond" w:hAnsi="Garamond"/>
          <w:color w:val="000000" w:themeColor="text1"/>
        </w:rPr>
        <w:t xml:space="preserve"> That France was now a member of the T.P.C., however, changed Picot’s </w:t>
      </w:r>
      <w:r w:rsidR="0086466B">
        <w:rPr>
          <w:rFonts w:ascii="Garamond" w:hAnsi="Garamond"/>
          <w:color w:val="000000" w:themeColor="text1"/>
        </w:rPr>
        <w:t>calculus</w:t>
      </w:r>
      <w:r w:rsidRPr="001B1C7A">
        <w:rPr>
          <w:rFonts w:ascii="Garamond" w:hAnsi="Garamond"/>
          <w:color w:val="000000" w:themeColor="text1"/>
        </w:rPr>
        <w:t xml:space="preserve">. He then revealed these machinations directly to Yale, a </w:t>
      </w:r>
      <w:r w:rsidR="00C6532D">
        <w:rPr>
          <w:rFonts w:ascii="Garamond" w:hAnsi="Garamond"/>
          <w:color w:val="000000" w:themeColor="text1"/>
        </w:rPr>
        <w:t>K.C.C.</w:t>
      </w:r>
      <w:r w:rsidRPr="001B1C7A">
        <w:rPr>
          <w:rFonts w:ascii="Garamond" w:hAnsi="Garamond"/>
          <w:color w:val="000000" w:themeColor="text1"/>
        </w:rPr>
        <w:t xml:space="preserve"> commissioner with deep knowledge of Middle Eastern </w:t>
      </w:r>
      <w:r w:rsidR="0086466B">
        <w:rPr>
          <w:rFonts w:ascii="Garamond" w:hAnsi="Garamond"/>
          <w:color w:val="000000" w:themeColor="text1"/>
        </w:rPr>
        <w:t>geo</w:t>
      </w:r>
      <w:r w:rsidRPr="001B1C7A">
        <w:rPr>
          <w:rFonts w:ascii="Garamond" w:hAnsi="Garamond"/>
          <w:color w:val="000000" w:themeColor="text1"/>
        </w:rPr>
        <w:t xml:space="preserve">politics </w:t>
      </w:r>
      <w:r w:rsidR="0086466B">
        <w:rPr>
          <w:rFonts w:ascii="Garamond" w:hAnsi="Garamond"/>
          <w:color w:val="000000" w:themeColor="text1"/>
        </w:rPr>
        <w:t xml:space="preserve">- </w:t>
      </w:r>
      <w:r w:rsidRPr="001B1C7A">
        <w:rPr>
          <w:rFonts w:ascii="Garamond" w:hAnsi="Garamond"/>
          <w:color w:val="000000" w:themeColor="text1"/>
        </w:rPr>
        <w:t xml:space="preserve">further inclining Yale against European exclusionary </w:t>
      </w:r>
      <w:r w:rsidR="00227ABC">
        <w:rPr>
          <w:rFonts w:ascii="Garamond" w:hAnsi="Garamond"/>
          <w:color w:val="000000" w:themeColor="text1"/>
        </w:rPr>
        <w:t>practices</w:t>
      </w:r>
      <w:r w:rsidRPr="001B1C7A">
        <w:rPr>
          <w:rFonts w:ascii="Garamond" w:hAnsi="Garamond"/>
          <w:color w:val="000000" w:themeColor="text1"/>
        </w:rPr>
        <w:t xml:space="preserve">. </w:t>
      </w:r>
    </w:p>
    <w:p w14:paraId="7CB12876" w14:textId="53D472CA" w:rsidR="0030323A" w:rsidRDefault="0030323A" w:rsidP="0030323A">
      <w:pPr>
        <w:pStyle w:val="Heading3"/>
        <w:numPr>
          <w:ilvl w:val="0"/>
          <w:numId w:val="35"/>
        </w:numPr>
        <w:rPr>
          <w:rFonts w:ascii="Garamond" w:hAnsi="Garamond"/>
          <w:color w:val="000000" w:themeColor="text1"/>
        </w:rPr>
      </w:pPr>
      <w:bookmarkStart w:id="43" w:name="_Toc66731794"/>
      <w:r w:rsidRPr="00E92768">
        <w:rPr>
          <w:rFonts w:ascii="Garamond" w:hAnsi="Garamond"/>
          <w:color w:val="000000" w:themeColor="text1"/>
        </w:rPr>
        <w:t xml:space="preserve">May 1919: </w:t>
      </w:r>
      <w:r w:rsidR="00CD37FF">
        <w:rPr>
          <w:rFonts w:ascii="Garamond" w:hAnsi="Garamond"/>
          <w:color w:val="000000" w:themeColor="text1"/>
        </w:rPr>
        <w:t>Yale’s Early Oil Memoranda</w:t>
      </w:r>
      <w:bookmarkEnd w:id="43"/>
    </w:p>
    <w:p w14:paraId="336A2FCD" w14:textId="77777777" w:rsidR="0030323A" w:rsidRPr="00E92768" w:rsidRDefault="0030323A" w:rsidP="0030323A"/>
    <w:p w14:paraId="732A3792" w14:textId="4937F3C3" w:rsidR="00623699" w:rsidRDefault="0030323A" w:rsidP="00A951E5">
      <w:pPr>
        <w:spacing w:line="480" w:lineRule="auto"/>
        <w:rPr>
          <w:rFonts w:ascii="Garamond" w:hAnsi="Garamond"/>
          <w:color w:val="000000" w:themeColor="text1"/>
        </w:rPr>
      </w:pPr>
      <w:r w:rsidRPr="001B1C7A">
        <w:rPr>
          <w:rFonts w:ascii="Garamond" w:hAnsi="Garamond"/>
          <w:color w:val="000000" w:themeColor="text1"/>
        </w:rPr>
        <w:tab/>
      </w:r>
      <w:r w:rsidR="00726104">
        <w:rPr>
          <w:rFonts w:ascii="Garamond" w:hAnsi="Garamond"/>
          <w:color w:val="000000" w:themeColor="text1"/>
        </w:rPr>
        <w:t>Yale drew on his inclination against European exclusionary practices</w:t>
      </w:r>
      <w:r w:rsidR="00672FDC">
        <w:rPr>
          <w:rFonts w:ascii="Garamond" w:hAnsi="Garamond"/>
          <w:color w:val="000000" w:themeColor="text1"/>
        </w:rPr>
        <w:t xml:space="preserve"> by writing</w:t>
      </w:r>
      <w:r w:rsidR="00726104">
        <w:rPr>
          <w:rFonts w:ascii="Garamond" w:hAnsi="Garamond"/>
          <w:color w:val="000000" w:themeColor="text1"/>
        </w:rPr>
        <w:t xml:space="preserve"> </w:t>
      </w:r>
      <w:r w:rsidR="00A951E5">
        <w:rPr>
          <w:rFonts w:ascii="Garamond" w:hAnsi="Garamond"/>
          <w:color w:val="000000" w:themeColor="text1"/>
        </w:rPr>
        <w:t xml:space="preserve">two </w:t>
      </w:r>
      <w:r w:rsidR="00726104">
        <w:rPr>
          <w:rFonts w:ascii="Garamond" w:hAnsi="Garamond"/>
          <w:color w:val="000000" w:themeColor="text1"/>
        </w:rPr>
        <w:t xml:space="preserve">early memoranda </w:t>
      </w:r>
      <w:r w:rsidR="00672FDC">
        <w:rPr>
          <w:rFonts w:ascii="Garamond" w:hAnsi="Garamond"/>
          <w:color w:val="000000" w:themeColor="text1"/>
        </w:rPr>
        <w:t>to</w:t>
      </w:r>
      <w:r w:rsidR="00726104">
        <w:rPr>
          <w:rFonts w:ascii="Garamond" w:hAnsi="Garamond"/>
          <w:color w:val="000000" w:themeColor="text1"/>
        </w:rPr>
        <w:t xml:space="preserve"> his fellow commissioners about </w:t>
      </w:r>
      <w:r w:rsidR="000E5484">
        <w:rPr>
          <w:rFonts w:ascii="Garamond" w:hAnsi="Garamond"/>
          <w:color w:val="000000" w:themeColor="text1"/>
        </w:rPr>
        <w:t xml:space="preserve">the national security implications of </w:t>
      </w:r>
      <w:r w:rsidR="00726104">
        <w:rPr>
          <w:rFonts w:ascii="Garamond" w:hAnsi="Garamond"/>
          <w:color w:val="000000" w:themeColor="text1"/>
        </w:rPr>
        <w:t>oil.</w:t>
      </w:r>
      <w:r w:rsidR="00726104">
        <w:rPr>
          <w:rStyle w:val="FootnoteReference"/>
          <w:rFonts w:ascii="Garamond" w:hAnsi="Garamond"/>
          <w:color w:val="000000" w:themeColor="text1"/>
        </w:rPr>
        <w:footnoteReference w:id="105"/>
      </w:r>
      <w:r w:rsidR="00726104">
        <w:rPr>
          <w:rFonts w:ascii="Garamond" w:hAnsi="Garamond"/>
          <w:color w:val="000000" w:themeColor="text1"/>
        </w:rPr>
        <w:t xml:space="preserve"> </w:t>
      </w:r>
      <w:r w:rsidR="00623699">
        <w:rPr>
          <w:rFonts w:ascii="Garamond" w:hAnsi="Garamond"/>
          <w:color w:val="000000" w:themeColor="text1"/>
        </w:rPr>
        <w:t>One memorandum discusse</w:t>
      </w:r>
      <w:r w:rsidR="00672FDC">
        <w:rPr>
          <w:rFonts w:ascii="Garamond" w:hAnsi="Garamond"/>
          <w:color w:val="000000" w:themeColor="text1"/>
        </w:rPr>
        <w:t>d</w:t>
      </w:r>
      <w:r w:rsidR="00623699">
        <w:rPr>
          <w:rFonts w:ascii="Garamond" w:hAnsi="Garamond"/>
          <w:color w:val="000000" w:themeColor="text1"/>
        </w:rPr>
        <w:t xml:space="preserve"> the of the T.P.C. and European exclusionary practices; </w:t>
      </w:r>
      <w:r w:rsidR="00227ABC">
        <w:rPr>
          <w:rFonts w:ascii="Garamond" w:hAnsi="Garamond"/>
          <w:color w:val="000000" w:themeColor="text1"/>
        </w:rPr>
        <w:t xml:space="preserve">the other </w:t>
      </w:r>
      <w:r w:rsidR="00672FDC">
        <w:rPr>
          <w:rFonts w:ascii="Garamond" w:hAnsi="Garamond"/>
          <w:color w:val="000000" w:themeColor="text1"/>
        </w:rPr>
        <w:t>responded</w:t>
      </w:r>
      <w:r w:rsidR="00623699">
        <w:rPr>
          <w:rFonts w:ascii="Garamond" w:hAnsi="Garamond"/>
          <w:color w:val="000000" w:themeColor="text1"/>
        </w:rPr>
        <w:t xml:space="preserve"> to 10 questions about Middle Eastern oil.</w:t>
      </w:r>
    </w:p>
    <w:p w14:paraId="46A7B45B" w14:textId="64A95FA7" w:rsidR="0030323A" w:rsidRPr="001B1C7A" w:rsidRDefault="0030323A" w:rsidP="00623699">
      <w:pPr>
        <w:spacing w:line="480" w:lineRule="auto"/>
        <w:ind w:firstLine="720"/>
        <w:rPr>
          <w:rFonts w:ascii="Garamond" w:hAnsi="Garamond"/>
          <w:color w:val="000000" w:themeColor="text1"/>
        </w:rPr>
      </w:pPr>
      <w:r w:rsidRPr="001B1C7A">
        <w:rPr>
          <w:rFonts w:ascii="Garamond" w:hAnsi="Garamond"/>
          <w:color w:val="000000" w:themeColor="text1"/>
        </w:rPr>
        <w:t xml:space="preserve">Yale commences </w:t>
      </w:r>
      <w:r w:rsidR="00A951E5">
        <w:rPr>
          <w:rFonts w:ascii="Garamond" w:hAnsi="Garamond"/>
          <w:color w:val="000000" w:themeColor="text1"/>
        </w:rPr>
        <w:t>the first memorand</w:t>
      </w:r>
      <w:r w:rsidR="00227ABC">
        <w:rPr>
          <w:rFonts w:ascii="Garamond" w:hAnsi="Garamond"/>
          <w:color w:val="000000" w:themeColor="text1"/>
        </w:rPr>
        <w:t>um with</w:t>
      </w:r>
      <w:r w:rsidR="00197DE7">
        <w:rPr>
          <w:rFonts w:ascii="Garamond" w:hAnsi="Garamond"/>
          <w:color w:val="000000" w:themeColor="text1"/>
        </w:rPr>
        <w:t xml:space="preserve"> </w:t>
      </w:r>
      <w:r w:rsidR="009C58FA">
        <w:rPr>
          <w:rFonts w:ascii="Garamond" w:hAnsi="Garamond"/>
          <w:color w:val="000000" w:themeColor="text1"/>
        </w:rPr>
        <w:t>the</w:t>
      </w:r>
      <w:r w:rsidR="00197DE7">
        <w:rPr>
          <w:rFonts w:ascii="Garamond" w:hAnsi="Garamond"/>
          <w:color w:val="000000" w:themeColor="text1"/>
        </w:rPr>
        <w:t xml:space="preserve"> statement that</w:t>
      </w:r>
      <w:r w:rsidRPr="001B1C7A">
        <w:rPr>
          <w:rFonts w:ascii="Garamond" w:hAnsi="Garamond"/>
          <w:color w:val="000000" w:themeColor="text1"/>
        </w:rPr>
        <w:t xml:space="preserve"> “the development of the natural resources of these lands should be directed to the greatest ultimate benefit of the world … it is obvious that this purpose can best be accomplished by the adoption of an open – door policy.”</w:t>
      </w:r>
      <w:r w:rsidRPr="001B1C7A">
        <w:rPr>
          <w:rStyle w:val="FootnoteReference"/>
          <w:rFonts w:ascii="Garamond" w:hAnsi="Garamond"/>
          <w:color w:val="000000" w:themeColor="text1"/>
        </w:rPr>
        <w:footnoteReference w:id="106"/>
      </w:r>
      <w:r w:rsidRPr="001B1C7A">
        <w:rPr>
          <w:rFonts w:ascii="Garamond" w:hAnsi="Garamond"/>
          <w:color w:val="000000" w:themeColor="text1"/>
        </w:rPr>
        <w:t xml:space="preserve"> Before the </w:t>
      </w:r>
      <w:r w:rsidR="00C6532D">
        <w:rPr>
          <w:rFonts w:ascii="Garamond" w:hAnsi="Garamond"/>
          <w:color w:val="000000" w:themeColor="text1"/>
        </w:rPr>
        <w:t>K.C.C.</w:t>
      </w:r>
      <w:r w:rsidRPr="001B1C7A">
        <w:rPr>
          <w:rFonts w:ascii="Garamond" w:hAnsi="Garamond"/>
          <w:color w:val="000000" w:themeColor="text1"/>
        </w:rPr>
        <w:t xml:space="preserve"> embarked, </w:t>
      </w:r>
      <w:r w:rsidR="009C58FA">
        <w:rPr>
          <w:rFonts w:ascii="Garamond" w:hAnsi="Garamond"/>
          <w:color w:val="000000" w:themeColor="text1"/>
        </w:rPr>
        <w:t>Yale</w:t>
      </w:r>
      <w:r w:rsidRPr="001B1C7A">
        <w:rPr>
          <w:rFonts w:ascii="Garamond" w:hAnsi="Garamond"/>
          <w:color w:val="000000" w:themeColor="text1"/>
        </w:rPr>
        <w:t xml:space="preserve"> </w:t>
      </w:r>
      <w:r w:rsidR="009C58FA">
        <w:rPr>
          <w:rFonts w:ascii="Garamond" w:hAnsi="Garamond"/>
          <w:color w:val="000000" w:themeColor="text1"/>
        </w:rPr>
        <w:t xml:space="preserve">had </w:t>
      </w:r>
      <w:r w:rsidRPr="001B1C7A">
        <w:rPr>
          <w:rFonts w:ascii="Garamond" w:hAnsi="Garamond"/>
          <w:color w:val="000000" w:themeColor="text1"/>
        </w:rPr>
        <w:t xml:space="preserve">already mentioned the idea of the </w:t>
      </w:r>
      <w:r w:rsidR="00C6532D">
        <w:rPr>
          <w:rFonts w:ascii="Garamond" w:hAnsi="Garamond"/>
          <w:color w:val="000000" w:themeColor="text1"/>
        </w:rPr>
        <w:t>Open Door</w:t>
      </w:r>
      <w:r w:rsidRPr="001B1C7A">
        <w:rPr>
          <w:rFonts w:ascii="Garamond" w:hAnsi="Garamond"/>
          <w:color w:val="000000" w:themeColor="text1"/>
        </w:rPr>
        <w:t xml:space="preserve">, taking influence from Secretary of State </w:t>
      </w:r>
      <w:r w:rsidR="00227ABC">
        <w:rPr>
          <w:rFonts w:ascii="Garamond" w:hAnsi="Garamond"/>
          <w:color w:val="000000" w:themeColor="text1"/>
        </w:rPr>
        <w:t>H</w:t>
      </w:r>
      <w:r w:rsidRPr="001B1C7A">
        <w:rPr>
          <w:rFonts w:ascii="Garamond" w:hAnsi="Garamond"/>
          <w:color w:val="000000" w:themeColor="text1"/>
        </w:rPr>
        <w:t>ay’s policy towards China in 1899; this represents the first evidence of a Commissioner sharing</w:t>
      </w:r>
      <w:r w:rsidR="00197DE7">
        <w:rPr>
          <w:rFonts w:ascii="Garamond" w:hAnsi="Garamond"/>
          <w:color w:val="000000" w:themeColor="text1"/>
        </w:rPr>
        <w:t xml:space="preserve"> his</w:t>
      </w:r>
      <w:r w:rsidRPr="001B1C7A">
        <w:rPr>
          <w:rFonts w:ascii="Garamond" w:hAnsi="Garamond"/>
          <w:color w:val="000000" w:themeColor="text1"/>
        </w:rPr>
        <w:t xml:space="preserve"> thoughts about the </w:t>
      </w:r>
      <w:r w:rsidR="00C6532D">
        <w:rPr>
          <w:rFonts w:ascii="Garamond" w:hAnsi="Garamond"/>
          <w:color w:val="000000" w:themeColor="text1"/>
        </w:rPr>
        <w:t>Open Door</w:t>
      </w:r>
      <w:r w:rsidRPr="001B1C7A">
        <w:rPr>
          <w:rFonts w:ascii="Garamond" w:hAnsi="Garamond"/>
          <w:color w:val="000000" w:themeColor="text1"/>
        </w:rPr>
        <w:t xml:space="preserve"> and oil among the Commission. After discussing the </w:t>
      </w:r>
      <w:r w:rsidR="00C6532D">
        <w:rPr>
          <w:rFonts w:ascii="Garamond" w:hAnsi="Garamond"/>
          <w:color w:val="000000" w:themeColor="text1"/>
        </w:rPr>
        <w:t>Open Door</w:t>
      </w:r>
      <w:r w:rsidRPr="001B1C7A">
        <w:rPr>
          <w:rFonts w:ascii="Garamond" w:hAnsi="Garamond"/>
          <w:color w:val="000000" w:themeColor="text1"/>
        </w:rPr>
        <w:t>, Yale then expresses that “This memorandum is to direct attention to the special importance of this principle with reference to the United States and its petroleum business.”</w:t>
      </w:r>
      <w:r w:rsidRPr="001B1C7A">
        <w:rPr>
          <w:rStyle w:val="FootnoteReference"/>
          <w:rFonts w:ascii="Garamond" w:hAnsi="Garamond"/>
          <w:color w:val="000000" w:themeColor="text1"/>
        </w:rPr>
        <w:footnoteReference w:id="107"/>
      </w:r>
      <w:r w:rsidRPr="001B1C7A">
        <w:rPr>
          <w:rFonts w:ascii="Garamond" w:hAnsi="Garamond"/>
          <w:color w:val="000000" w:themeColor="text1"/>
        </w:rPr>
        <w:t xml:space="preserve"> Again, Yale emphasized the </w:t>
      </w:r>
      <w:r w:rsidR="00C6532D">
        <w:rPr>
          <w:rFonts w:ascii="Garamond" w:hAnsi="Garamond"/>
          <w:color w:val="000000" w:themeColor="text1"/>
        </w:rPr>
        <w:t>Open Door</w:t>
      </w:r>
      <w:r w:rsidRPr="001B1C7A">
        <w:rPr>
          <w:rFonts w:ascii="Garamond" w:hAnsi="Garamond"/>
          <w:color w:val="000000" w:themeColor="text1"/>
        </w:rPr>
        <w:t>. He wasted no time in informing the others about European conniving in saying “the British government has a very definite and aggressive oil policy … it is significant that the British Government had previously forbidden the sale of these same holdings to American interests.”</w:t>
      </w:r>
      <w:r w:rsidRPr="001B1C7A">
        <w:rPr>
          <w:rStyle w:val="FootnoteReference"/>
          <w:rFonts w:ascii="Garamond" w:hAnsi="Garamond"/>
          <w:color w:val="000000" w:themeColor="text1"/>
        </w:rPr>
        <w:footnoteReference w:id="108"/>
      </w:r>
      <w:r w:rsidRPr="001B1C7A">
        <w:rPr>
          <w:rFonts w:ascii="Garamond" w:hAnsi="Garamond"/>
          <w:color w:val="000000" w:themeColor="text1"/>
        </w:rPr>
        <w:t xml:space="preserve"> That Yale established himself as a fervent </w:t>
      </w:r>
      <w:r w:rsidRPr="001B1C7A">
        <w:rPr>
          <w:rFonts w:ascii="Garamond" w:hAnsi="Garamond"/>
          <w:color w:val="000000" w:themeColor="text1"/>
        </w:rPr>
        <w:lastRenderedPageBreak/>
        <w:t xml:space="preserve">supporter of the </w:t>
      </w:r>
      <w:r w:rsidR="00C6532D">
        <w:rPr>
          <w:rFonts w:ascii="Garamond" w:hAnsi="Garamond"/>
          <w:color w:val="000000" w:themeColor="text1"/>
        </w:rPr>
        <w:t>Open Door</w:t>
      </w:r>
      <w:r w:rsidRPr="001B1C7A">
        <w:rPr>
          <w:rFonts w:ascii="Garamond" w:hAnsi="Garamond"/>
          <w:color w:val="000000" w:themeColor="text1"/>
        </w:rPr>
        <w:t xml:space="preserve"> does not necessitate that all the other commissioners shared the same attitude; it indicates, rather, the other members’ awareness of current oil considerations and European actions before embarking to the Middle East.</w:t>
      </w:r>
      <w:r w:rsidR="00F473B4">
        <w:rPr>
          <w:rStyle w:val="FootnoteReference"/>
          <w:rFonts w:ascii="Garamond" w:hAnsi="Garamond"/>
          <w:color w:val="000000" w:themeColor="text1"/>
        </w:rPr>
        <w:footnoteReference w:id="109"/>
      </w:r>
      <w:r w:rsidRPr="001B1C7A">
        <w:rPr>
          <w:rFonts w:ascii="Garamond" w:hAnsi="Garamond"/>
          <w:color w:val="000000" w:themeColor="text1"/>
        </w:rPr>
        <w:t xml:space="preserve"> Yale’s early memorand</w:t>
      </w:r>
      <w:r w:rsidR="00623699">
        <w:rPr>
          <w:rFonts w:ascii="Garamond" w:hAnsi="Garamond"/>
          <w:color w:val="000000" w:themeColor="text1"/>
        </w:rPr>
        <w:t>a</w:t>
      </w:r>
      <w:r w:rsidRPr="001B1C7A">
        <w:rPr>
          <w:rFonts w:ascii="Garamond" w:hAnsi="Garamond"/>
          <w:color w:val="000000" w:themeColor="text1"/>
        </w:rPr>
        <w:t xml:space="preserve"> are a good way to </w:t>
      </w:r>
      <w:r w:rsidR="00623699">
        <w:rPr>
          <w:rFonts w:ascii="Garamond" w:hAnsi="Garamond"/>
          <w:color w:val="000000" w:themeColor="text1"/>
        </w:rPr>
        <w:t>understand</w:t>
      </w:r>
      <w:r w:rsidRPr="001B1C7A">
        <w:rPr>
          <w:rFonts w:ascii="Garamond" w:hAnsi="Garamond"/>
          <w:color w:val="000000" w:themeColor="text1"/>
        </w:rPr>
        <w:t xml:space="preserve"> his thinking about oil to come.   </w:t>
      </w:r>
    </w:p>
    <w:p w14:paraId="069ACFF5" w14:textId="0D5890A4" w:rsidR="003F6E19" w:rsidRDefault="0030323A" w:rsidP="003F6E19">
      <w:pPr>
        <w:spacing w:line="480" w:lineRule="auto"/>
        <w:ind w:firstLine="720"/>
        <w:rPr>
          <w:rFonts w:ascii="Garamond" w:hAnsi="Garamond"/>
          <w:color w:val="000000" w:themeColor="text1"/>
        </w:rPr>
      </w:pPr>
      <w:r w:rsidRPr="001B1C7A">
        <w:rPr>
          <w:rFonts w:ascii="Garamond" w:hAnsi="Garamond"/>
          <w:color w:val="000000" w:themeColor="text1"/>
        </w:rPr>
        <w:t xml:space="preserve">Yale then proceeded to touch on prevalent attitudes at the time, notably of the oil scare </w:t>
      </w:r>
      <w:r w:rsidR="00623699">
        <w:rPr>
          <w:rFonts w:ascii="Garamond" w:hAnsi="Garamond"/>
          <w:color w:val="000000" w:themeColor="text1"/>
        </w:rPr>
        <w:t>discussed</w:t>
      </w:r>
      <w:r w:rsidRPr="001B1C7A">
        <w:rPr>
          <w:rFonts w:ascii="Garamond" w:hAnsi="Garamond"/>
          <w:color w:val="000000" w:themeColor="text1"/>
        </w:rPr>
        <w:t xml:space="preserve"> by </w:t>
      </w:r>
      <w:r w:rsidR="00623699">
        <w:rPr>
          <w:rFonts w:ascii="Garamond" w:hAnsi="Garamond"/>
          <w:color w:val="000000" w:themeColor="text1"/>
        </w:rPr>
        <w:t xml:space="preserve">scholars </w:t>
      </w:r>
      <w:r w:rsidRPr="001B1C7A">
        <w:rPr>
          <w:rFonts w:ascii="Garamond" w:hAnsi="Garamond"/>
          <w:color w:val="000000" w:themeColor="text1"/>
        </w:rPr>
        <w:t>J.H. Wilson, Painter and DeNovo.</w:t>
      </w:r>
      <w:r w:rsidRPr="001B1C7A">
        <w:rPr>
          <w:rStyle w:val="FootnoteReference"/>
          <w:rFonts w:ascii="Garamond" w:hAnsi="Garamond"/>
          <w:color w:val="000000" w:themeColor="text1"/>
        </w:rPr>
        <w:footnoteReference w:id="110"/>
      </w:r>
      <w:r w:rsidRPr="001B1C7A">
        <w:rPr>
          <w:rFonts w:ascii="Garamond" w:hAnsi="Garamond"/>
          <w:color w:val="000000" w:themeColor="text1"/>
        </w:rPr>
        <w:t xml:space="preserve"> He writes, “it is a fact that the native petroleum resources of the United States are becoming exhausted.”</w:t>
      </w:r>
      <w:r w:rsidRPr="001B1C7A">
        <w:rPr>
          <w:rStyle w:val="FootnoteReference"/>
          <w:rFonts w:ascii="Garamond" w:hAnsi="Garamond"/>
          <w:color w:val="000000" w:themeColor="text1"/>
        </w:rPr>
        <w:footnoteReference w:id="111"/>
      </w:r>
      <w:r w:rsidRPr="001B1C7A">
        <w:rPr>
          <w:rFonts w:ascii="Garamond" w:hAnsi="Garamond"/>
          <w:color w:val="000000" w:themeColor="text1"/>
        </w:rPr>
        <w:t xml:space="preserve"> Yale justifie</w:t>
      </w:r>
      <w:r w:rsidR="00227ABC">
        <w:rPr>
          <w:rFonts w:ascii="Garamond" w:hAnsi="Garamond"/>
          <w:color w:val="000000" w:themeColor="text1"/>
        </w:rPr>
        <w:t>d</w:t>
      </w:r>
      <w:r w:rsidRPr="001B1C7A">
        <w:rPr>
          <w:rFonts w:ascii="Garamond" w:hAnsi="Garamond"/>
          <w:color w:val="000000" w:themeColor="text1"/>
        </w:rPr>
        <w:t xml:space="preserve"> his fears by referencing American domestic consumption oil, because of the automobile, and the American Navy’s dependence upon oil as fuel, as </w:t>
      </w:r>
      <w:r w:rsidR="00623699">
        <w:rPr>
          <w:rFonts w:ascii="Garamond" w:hAnsi="Garamond"/>
          <w:color w:val="000000" w:themeColor="text1"/>
        </w:rPr>
        <w:t>explored</w:t>
      </w:r>
      <w:r w:rsidRPr="001B1C7A">
        <w:rPr>
          <w:rFonts w:ascii="Garamond" w:hAnsi="Garamond"/>
          <w:color w:val="000000" w:themeColor="text1"/>
        </w:rPr>
        <w:t xml:space="preserve"> by Maurer</w:t>
      </w:r>
      <w:r w:rsidRPr="001B1C7A">
        <w:rPr>
          <w:rFonts w:ascii="Garamond" w:hAnsi="Garamond"/>
          <w:i/>
          <w:iCs/>
          <w:color w:val="000000" w:themeColor="text1"/>
        </w:rPr>
        <w:t>.</w:t>
      </w:r>
      <w:r w:rsidRPr="001B1C7A">
        <w:rPr>
          <w:rStyle w:val="FootnoteReference"/>
          <w:rFonts w:ascii="Garamond" w:hAnsi="Garamond"/>
          <w:color w:val="000000" w:themeColor="text1"/>
        </w:rPr>
        <w:footnoteReference w:id="112"/>
      </w:r>
      <w:r w:rsidRPr="001B1C7A">
        <w:rPr>
          <w:rFonts w:ascii="Garamond" w:hAnsi="Garamond"/>
          <w:i/>
          <w:iCs/>
          <w:color w:val="000000" w:themeColor="text1"/>
        </w:rPr>
        <w:t xml:space="preserve"> </w:t>
      </w:r>
      <w:r w:rsidRPr="001B1C7A">
        <w:rPr>
          <w:rFonts w:ascii="Garamond" w:hAnsi="Garamond"/>
          <w:color w:val="000000" w:themeColor="text1"/>
        </w:rPr>
        <w:t xml:space="preserve">After outlining the economic and national security crises the U.S. would undergo because of depleted oil reserves, Yale concludes with </w:t>
      </w:r>
    </w:p>
    <w:p w14:paraId="09068E44" w14:textId="5FCD0987" w:rsidR="003F6E19" w:rsidRDefault="003F6E19" w:rsidP="003F6E19">
      <w:pPr>
        <w:ind w:firstLine="720"/>
        <w:rPr>
          <w:rFonts w:ascii="Garamond" w:hAnsi="Garamond"/>
          <w:color w:val="000000" w:themeColor="text1"/>
        </w:rPr>
      </w:pPr>
      <w:r>
        <w:rPr>
          <w:rFonts w:ascii="Garamond" w:hAnsi="Garamond"/>
          <w:color w:val="000000" w:themeColor="text1"/>
        </w:rPr>
        <w:t xml:space="preserve">“The American Navy is now, to a great extent, dependent upon Fuel Oil for the creation of power and the ships of our rapidly growing merchant marine are for the most part oil-burners. Our national safety … must depend in large measure upon the assurance to the United States of the continued supplies of petroleum. With our requirements constantly increasing, with our own supplies about to decline … </w:t>
      </w:r>
      <w:r w:rsidRPr="001B1C7A">
        <w:rPr>
          <w:rFonts w:ascii="Garamond" w:hAnsi="Garamond"/>
          <w:color w:val="000000" w:themeColor="text1"/>
        </w:rPr>
        <w:t>the necessity of guaranteeing now to American industry the right to have its part in the development of the petroleum resources of the territories about to pass under British control will be apparent</w:t>
      </w:r>
      <w:r>
        <w:rPr>
          <w:rFonts w:ascii="Garamond" w:hAnsi="Garamond"/>
          <w:color w:val="000000" w:themeColor="text1"/>
        </w:rPr>
        <w:t>.”</w:t>
      </w:r>
      <w:r w:rsidRPr="003F6E19">
        <w:rPr>
          <w:rStyle w:val="FootnoteReference"/>
          <w:rFonts w:ascii="Garamond" w:hAnsi="Garamond"/>
          <w:color w:val="000000" w:themeColor="text1"/>
        </w:rPr>
        <w:t xml:space="preserve"> </w:t>
      </w:r>
      <w:r w:rsidRPr="001B1C7A">
        <w:rPr>
          <w:rStyle w:val="FootnoteReference"/>
          <w:rFonts w:ascii="Garamond" w:hAnsi="Garamond"/>
          <w:color w:val="000000" w:themeColor="text1"/>
        </w:rPr>
        <w:footnoteReference w:id="113"/>
      </w:r>
    </w:p>
    <w:p w14:paraId="57F374A1" w14:textId="77777777" w:rsidR="003F6E19" w:rsidRDefault="003F6E19" w:rsidP="003F6E19">
      <w:pPr>
        <w:ind w:firstLine="720"/>
        <w:rPr>
          <w:rFonts w:ascii="Garamond" w:hAnsi="Garamond"/>
          <w:color w:val="000000" w:themeColor="text1"/>
        </w:rPr>
      </w:pPr>
    </w:p>
    <w:p w14:paraId="55A0FE93" w14:textId="77777777" w:rsidR="003F6E19" w:rsidRDefault="003F6E19" w:rsidP="003F6E19">
      <w:pPr>
        <w:ind w:firstLine="720"/>
        <w:rPr>
          <w:rFonts w:ascii="Garamond" w:hAnsi="Garamond"/>
          <w:color w:val="000000" w:themeColor="text1"/>
        </w:rPr>
      </w:pPr>
    </w:p>
    <w:p w14:paraId="751A8801" w14:textId="30431B10" w:rsidR="0030323A" w:rsidRDefault="003F6E19" w:rsidP="000E5484">
      <w:pPr>
        <w:spacing w:line="480" w:lineRule="auto"/>
        <w:ind w:firstLine="720"/>
        <w:rPr>
          <w:rFonts w:ascii="Garamond" w:hAnsi="Garamond"/>
          <w:color w:val="000000" w:themeColor="text1"/>
        </w:rPr>
      </w:pPr>
      <w:r>
        <w:rPr>
          <w:rFonts w:ascii="Garamond" w:hAnsi="Garamond"/>
          <w:color w:val="000000" w:themeColor="text1"/>
        </w:rPr>
        <w:t xml:space="preserve">After impressing </w:t>
      </w:r>
      <w:r w:rsidR="0030323A" w:rsidRPr="001B1C7A">
        <w:rPr>
          <w:rFonts w:ascii="Garamond" w:hAnsi="Garamond"/>
          <w:color w:val="000000" w:themeColor="text1"/>
        </w:rPr>
        <w:t>the significance of the American oil industry</w:t>
      </w:r>
      <w:r>
        <w:rPr>
          <w:rFonts w:ascii="Garamond" w:hAnsi="Garamond"/>
          <w:color w:val="000000" w:themeColor="text1"/>
        </w:rPr>
        <w:t xml:space="preserve"> and the extent of European exclusionary practices upon his fellow Commissioners, Yale then outlined the “national safety” imperatives of oil.</w:t>
      </w:r>
      <w:r>
        <w:rPr>
          <w:rStyle w:val="FootnoteReference"/>
          <w:rFonts w:ascii="Garamond" w:hAnsi="Garamond"/>
          <w:color w:val="000000" w:themeColor="text1"/>
        </w:rPr>
        <w:footnoteReference w:id="114"/>
      </w:r>
      <w:r>
        <w:rPr>
          <w:rFonts w:ascii="Garamond" w:hAnsi="Garamond"/>
          <w:color w:val="000000" w:themeColor="text1"/>
        </w:rPr>
        <w:t xml:space="preserve"> This is the argument that Yale would continue for the remainder of his time on the K.C.C. Though Yale highlights the commercial imperative of accessing Mesopotamia’s oil, his true angst lies in national security. In Yale’s words, oil was essential to the “creation of power.” Yale’s </w:t>
      </w:r>
      <w:r w:rsidR="00CA6580">
        <w:rPr>
          <w:rFonts w:ascii="Garamond" w:hAnsi="Garamond"/>
          <w:color w:val="000000" w:themeColor="text1"/>
        </w:rPr>
        <w:t xml:space="preserve">early </w:t>
      </w:r>
      <w:r>
        <w:rPr>
          <w:rFonts w:ascii="Garamond" w:hAnsi="Garamond"/>
          <w:color w:val="000000" w:themeColor="text1"/>
        </w:rPr>
        <w:t>thesis shows that national security interests were the primary motivation of his thinking</w:t>
      </w:r>
      <w:r w:rsidR="000E5484">
        <w:rPr>
          <w:rFonts w:ascii="Garamond" w:hAnsi="Garamond"/>
          <w:color w:val="000000" w:themeColor="text1"/>
        </w:rPr>
        <w:t xml:space="preserve">. </w:t>
      </w:r>
      <w:r w:rsidR="000E5484" w:rsidRPr="000E5484">
        <w:rPr>
          <w:rFonts w:ascii="Garamond" w:hAnsi="Garamond"/>
          <w:color w:val="FFFFFF" w:themeColor="background1"/>
        </w:rPr>
        <w:lastRenderedPageBreak/>
        <w:t xml:space="preserve">L </w:t>
      </w:r>
      <w:r w:rsidR="000E5484">
        <w:rPr>
          <w:rFonts w:ascii="Garamond" w:hAnsi="Garamond"/>
          <w:color w:val="000000" w:themeColor="text1"/>
        </w:rPr>
        <w:t xml:space="preserve">    </w:t>
      </w:r>
      <w:r w:rsidR="00623699" w:rsidRPr="001B1C7A">
        <w:rPr>
          <w:rFonts w:ascii="Garamond" w:hAnsi="Garamond"/>
          <w:color w:val="000000" w:themeColor="text1"/>
        </w:rPr>
        <w:t>Yale further highlight</w:t>
      </w:r>
      <w:r w:rsidR="00FC6525">
        <w:rPr>
          <w:rFonts w:ascii="Garamond" w:hAnsi="Garamond"/>
          <w:color w:val="000000" w:themeColor="text1"/>
        </w:rPr>
        <w:t>ed</w:t>
      </w:r>
      <w:r w:rsidR="00623699" w:rsidRPr="001B1C7A">
        <w:rPr>
          <w:rFonts w:ascii="Garamond" w:hAnsi="Garamond"/>
          <w:color w:val="000000" w:themeColor="text1"/>
        </w:rPr>
        <w:t xml:space="preserve"> European, specifically British, exclusionary practices in </w:t>
      </w:r>
      <w:r w:rsidR="00623699">
        <w:rPr>
          <w:rFonts w:ascii="Garamond" w:hAnsi="Garamond"/>
          <w:color w:val="000000" w:themeColor="text1"/>
        </w:rPr>
        <w:t>a second m</w:t>
      </w:r>
      <w:r w:rsidR="00623699" w:rsidRPr="001B1C7A">
        <w:rPr>
          <w:rFonts w:ascii="Garamond" w:hAnsi="Garamond"/>
          <w:color w:val="000000" w:themeColor="text1"/>
        </w:rPr>
        <w:t>emorandum</w:t>
      </w:r>
      <w:r w:rsidR="00623699">
        <w:rPr>
          <w:rFonts w:ascii="Garamond" w:hAnsi="Garamond"/>
          <w:color w:val="000000" w:themeColor="text1"/>
        </w:rPr>
        <w:t xml:space="preserve"> written at the same time</w:t>
      </w:r>
      <w:r w:rsidR="0030323A" w:rsidRPr="001B1C7A">
        <w:rPr>
          <w:rFonts w:ascii="Garamond" w:hAnsi="Garamond"/>
          <w:color w:val="000000" w:themeColor="text1"/>
        </w:rPr>
        <w:t>.</w:t>
      </w:r>
      <w:r w:rsidR="0030323A" w:rsidRPr="001B1C7A">
        <w:rPr>
          <w:rStyle w:val="FootnoteReference"/>
          <w:rFonts w:ascii="Garamond" w:hAnsi="Garamond"/>
          <w:color w:val="000000" w:themeColor="text1"/>
        </w:rPr>
        <w:footnoteReference w:id="115"/>
      </w:r>
      <w:r w:rsidR="0030323A" w:rsidRPr="001B1C7A">
        <w:rPr>
          <w:rFonts w:ascii="Garamond" w:hAnsi="Garamond"/>
          <w:color w:val="000000" w:themeColor="text1"/>
        </w:rPr>
        <w:t xml:space="preserve"> Presumably, someone on the </w:t>
      </w:r>
      <w:r w:rsidR="00C6532D">
        <w:rPr>
          <w:rFonts w:ascii="Garamond" w:hAnsi="Garamond"/>
          <w:color w:val="000000" w:themeColor="text1"/>
        </w:rPr>
        <w:t>K.C.C.</w:t>
      </w:r>
      <w:r w:rsidR="0030323A" w:rsidRPr="001B1C7A">
        <w:rPr>
          <w:rFonts w:ascii="Garamond" w:hAnsi="Garamond"/>
          <w:color w:val="000000" w:themeColor="text1"/>
        </w:rPr>
        <w:t xml:space="preserve"> sent </w:t>
      </w:r>
      <w:r w:rsidR="00CA6580">
        <w:rPr>
          <w:rFonts w:ascii="Garamond" w:hAnsi="Garamond"/>
          <w:color w:val="000000" w:themeColor="text1"/>
        </w:rPr>
        <w:t xml:space="preserve">Yale </w:t>
      </w:r>
      <w:r w:rsidR="0030323A" w:rsidRPr="001B1C7A">
        <w:rPr>
          <w:rFonts w:ascii="Garamond" w:hAnsi="Garamond"/>
          <w:color w:val="000000" w:themeColor="text1"/>
        </w:rPr>
        <w:t>these questions. Question three asks “How are these {oil interested} governments trying to control the situation?”</w:t>
      </w:r>
      <w:r w:rsidR="0030323A" w:rsidRPr="001B1C7A">
        <w:rPr>
          <w:rStyle w:val="FootnoteReference"/>
          <w:rFonts w:ascii="Garamond" w:hAnsi="Garamond"/>
          <w:color w:val="000000" w:themeColor="text1"/>
        </w:rPr>
        <w:footnoteReference w:id="116"/>
      </w:r>
      <w:r w:rsidR="0030323A" w:rsidRPr="001B1C7A">
        <w:rPr>
          <w:rFonts w:ascii="Garamond" w:hAnsi="Garamond"/>
          <w:color w:val="000000" w:themeColor="text1"/>
        </w:rPr>
        <w:t xml:space="preserve"> Question five asks “Do they exclude foreigners from owning or operating oil fields in their domain or in that of their colonies?” Question eight asks “Are foreign corporations in the oil business assisted or subsidized in any way by their governments?”</w:t>
      </w:r>
      <w:r w:rsidR="0030323A" w:rsidRPr="001B1C7A">
        <w:rPr>
          <w:rStyle w:val="FootnoteReference"/>
          <w:rFonts w:ascii="Garamond" w:hAnsi="Garamond"/>
          <w:color w:val="000000" w:themeColor="text1"/>
        </w:rPr>
        <w:footnoteReference w:id="117"/>
      </w:r>
      <w:r w:rsidR="0030323A" w:rsidRPr="001B1C7A">
        <w:rPr>
          <w:rFonts w:ascii="Garamond" w:hAnsi="Garamond"/>
          <w:color w:val="000000" w:themeColor="text1"/>
        </w:rPr>
        <w:t xml:space="preserve"> Each question indicates that someone on the </w:t>
      </w:r>
      <w:r w:rsidR="00C6532D">
        <w:rPr>
          <w:rFonts w:ascii="Garamond" w:hAnsi="Garamond"/>
          <w:color w:val="000000" w:themeColor="text1"/>
        </w:rPr>
        <w:t>K.C.C.</w:t>
      </w:r>
      <w:r w:rsidR="0030323A" w:rsidRPr="001B1C7A">
        <w:rPr>
          <w:rFonts w:ascii="Garamond" w:hAnsi="Garamond"/>
          <w:color w:val="000000" w:themeColor="text1"/>
        </w:rPr>
        <w:t xml:space="preserve"> </w:t>
      </w:r>
      <w:r w:rsidR="00CA6580">
        <w:rPr>
          <w:rFonts w:ascii="Garamond" w:hAnsi="Garamond"/>
          <w:color w:val="000000" w:themeColor="text1"/>
        </w:rPr>
        <w:t>was interested in</w:t>
      </w:r>
      <w:r w:rsidR="0030323A" w:rsidRPr="001B1C7A">
        <w:rPr>
          <w:rFonts w:ascii="Garamond" w:hAnsi="Garamond"/>
          <w:color w:val="000000" w:themeColor="text1"/>
        </w:rPr>
        <w:t xml:space="preserve"> oil. Naturally, Yale, the former Standard Oil employee, </w:t>
      </w:r>
      <w:r w:rsidR="00CA6580">
        <w:rPr>
          <w:rFonts w:ascii="Garamond" w:hAnsi="Garamond"/>
          <w:color w:val="000000" w:themeColor="text1"/>
        </w:rPr>
        <w:t>responded</w:t>
      </w:r>
      <w:r w:rsidR="0030323A" w:rsidRPr="001B1C7A">
        <w:rPr>
          <w:rFonts w:ascii="Garamond" w:hAnsi="Garamond"/>
          <w:color w:val="000000" w:themeColor="text1"/>
        </w:rPr>
        <w:t>– most answers highlight European exclusionary activities or American shortcomings. The concluding question then demands “What should be done to protect and encourage the American operator in his effort to get a fair share of the oil in the world?”</w:t>
      </w:r>
      <w:r w:rsidR="0030323A" w:rsidRPr="001B1C7A">
        <w:rPr>
          <w:rStyle w:val="FootnoteReference"/>
          <w:rFonts w:ascii="Garamond" w:hAnsi="Garamond"/>
          <w:color w:val="000000" w:themeColor="text1"/>
        </w:rPr>
        <w:footnoteReference w:id="118"/>
      </w:r>
      <w:r w:rsidR="0030323A" w:rsidRPr="001B1C7A">
        <w:rPr>
          <w:rFonts w:ascii="Garamond" w:hAnsi="Garamond"/>
          <w:color w:val="000000" w:themeColor="text1"/>
        </w:rPr>
        <w:t xml:space="preserve"> In a </w:t>
      </w:r>
      <w:r w:rsidR="00CA6580">
        <w:rPr>
          <w:rFonts w:ascii="Garamond" w:hAnsi="Garamond"/>
          <w:color w:val="000000" w:themeColor="text1"/>
        </w:rPr>
        <w:t>normative</w:t>
      </w:r>
      <w:r w:rsidR="0030323A" w:rsidRPr="001B1C7A">
        <w:rPr>
          <w:rFonts w:ascii="Garamond" w:hAnsi="Garamond"/>
          <w:color w:val="000000" w:themeColor="text1"/>
        </w:rPr>
        <w:t xml:space="preserve"> policy response, Yale list</w:t>
      </w:r>
      <w:r w:rsidR="00FC6525">
        <w:rPr>
          <w:rFonts w:ascii="Garamond" w:hAnsi="Garamond"/>
          <w:color w:val="000000" w:themeColor="text1"/>
        </w:rPr>
        <w:t>ed</w:t>
      </w:r>
      <w:r w:rsidR="0030323A" w:rsidRPr="001B1C7A">
        <w:rPr>
          <w:rFonts w:ascii="Garamond" w:hAnsi="Garamond"/>
          <w:color w:val="000000" w:themeColor="text1"/>
        </w:rPr>
        <w:t xml:space="preserve"> four actions, the two most important being: the U.S. should ban foreign oil companies from domestic U.S. operation; and the State Department should back U.S. oil companies in their efforts to achieve equal economic treatment – </w:t>
      </w:r>
      <w:r w:rsidR="00CA6580">
        <w:rPr>
          <w:rFonts w:ascii="Garamond" w:hAnsi="Garamond"/>
          <w:color w:val="000000" w:themeColor="text1"/>
        </w:rPr>
        <w:t xml:space="preserve">alluding </w:t>
      </w:r>
      <w:r w:rsidR="0030323A" w:rsidRPr="001B1C7A">
        <w:rPr>
          <w:rFonts w:ascii="Garamond" w:hAnsi="Garamond"/>
          <w:color w:val="000000" w:themeColor="text1"/>
        </w:rPr>
        <w:t xml:space="preserve">to the </w:t>
      </w:r>
      <w:r w:rsidR="00C6532D">
        <w:rPr>
          <w:rFonts w:ascii="Garamond" w:hAnsi="Garamond"/>
          <w:color w:val="000000" w:themeColor="text1"/>
        </w:rPr>
        <w:t>Open Door</w:t>
      </w:r>
      <w:r w:rsidR="0030323A" w:rsidRPr="001B1C7A">
        <w:rPr>
          <w:rFonts w:ascii="Garamond" w:hAnsi="Garamond"/>
          <w:color w:val="000000" w:themeColor="text1"/>
        </w:rPr>
        <w:t>.</w:t>
      </w:r>
      <w:r w:rsidR="0030323A" w:rsidRPr="001B1C7A">
        <w:rPr>
          <w:rStyle w:val="FootnoteReference"/>
          <w:rFonts w:ascii="Garamond" w:hAnsi="Garamond"/>
          <w:color w:val="000000" w:themeColor="text1"/>
        </w:rPr>
        <w:footnoteReference w:id="119"/>
      </w:r>
      <w:r w:rsidR="0030323A" w:rsidRPr="001B1C7A">
        <w:rPr>
          <w:rFonts w:ascii="Garamond" w:hAnsi="Garamond"/>
          <w:color w:val="000000" w:themeColor="text1"/>
        </w:rPr>
        <w:t xml:space="preserve"> </w:t>
      </w:r>
    </w:p>
    <w:p w14:paraId="1E9E794B" w14:textId="20D819CF" w:rsidR="00FC6525" w:rsidRPr="001B1C7A" w:rsidRDefault="00FC6525" w:rsidP="0030323A">
      <w:pPr>
        <w:spacing w:line="480" w:lineRule="auto"/>
        <w:ind w:firstLine="720"/>
        <w:rPr>
          <w:rFonts w:ascii="Garamond" w:hAnsi="Garamond"/>
          <w:color w:val="000000" w:themeColor="text1"/>
        </w:rPr>
      </w:pPr>
      <w:r>
        <w:rPr>
          <w:rFonts w:ascii="Garamond" w:hAnsi="Garamond"/>
          <w:color w:val="000000" w:themeColor="text1"/>
        </w:rPr>
        <w:t>Yale also discussed Japan, who was increasingly threatening the United States in the Pacific. Along with Great Britain, Yale writes that Japan was “showing a lively interest in seeking petroleum in various parts of the world.”</w:t>
      </w:r>
      <w:r>
        <w:rPr>
          <w:rStyle w:val="FootnoteReference"/>
          <w:rFonts w:ascii="Garamond" w:hAnsi="Garamond"/>
          <w:color w:val="000000" w:themeColor="text1"/>
        </w:rPr>
        <w:footnoteReference w:id="120"/>
      </w:r>
      <w:r>
        <w:rPr>
          <w:rFonts w:ascii="Garamond" w:hAnsi="Garamond"/>
          <w:color w:val="000000" w:themeColor="text1"/>
        </w:rPr>
        <w:t xml:space="preserve"> </w:t>
      </w:r>
      <w:r w:rsidR="00CA6580">
        <w:rPr>
          <w:rFonts w:ascii="Garamond" w:hAnsi="Garamond"/>
          <w:color w:val="000000" w:themeColor="text1"/>
        </w:rPr>
        <w:t>T</w:t>
      </w:r>
      <w:r>
        <w:rPr>
          <w:rFonts w:ascii="Garamond" w:hAnsi="Garamond"/>
          <w:color w:val="000000" w:themeColor="text1"/>
        </w:rPr>
        <w:t xml:space="preserve">hese parts </w:t>
      </w:r>
      <w:r w:rsidR="00CA6580">
        <w:rPr>
          <w:rFonts w:ascii="Garamond" w:hAnsi="Garamond"/>
          <w:color w:val="000000" w:themeColor="text1"/>
        </w:rPr>
        <w:t>are</w:t>
      </w:r>
      <w:r>
        <w:rPr>
          <w:rFonts w:ascii="Garamond" w:hAnsi="Garamond"/>
          <w:color w:val="000000" w:themeColor="text1"/>
        </w:rPr>
        <w:t xml:space="preserve"> “Japan, China, Island of Sakhalin and Formosa.” Yale also reinforced that Japan had withdrawn </w:t>
      </w:r>
      <w:r w:rsidR="00CA6580">
        <w:rPr>
          <w:rFonts w:ascii="Garamond" w:hAnsi="Garamond"/>
          <w:color w:val="000000" w:themeColor="text1"/>
        </w:rPr>
        <w:t xml:space="preserve">its </w:t>
      </w:r>
      <w:r>
        <w:rPr>
          <w:rFonts w:ascii="Garamond" w:hAnsi="Garamond"/>
          <w:color w:val="000000" w:themeColor="text1"/>
        </w:rPr>
        <w:t xml:space="preserve">oil fields from private development. This underscores that not only </w:t>
      </w:r>
      <w:r w:rsidR="00BF79CD">
        <w:rPr>
          <w:rFonts w:ascii="Garamond" w:hAnsi="Garamond"/>
          <w:color w:val="000000" w:themeColor="text1"/>
        </w:rPr>
        <w:t xml:space="preserve">were </w:t>
      </w:r>
      <w:r>
        <w:rPr>
          <w:rFonts w:ascii="Garamond" w:hAnsi="Garamond"/>
          <w:color w:val="000000" w:themeColor="text1"/>
        </w:rPr>
        <w:t xml:space="preserve">the Europeans excluding the U.S. from the Middle East, </w:t>
      </w:r>
      <w:r w:rsidR="00C74E85">
        <w:rPr>
          <w:rFonts w:ascii="Garamond" w:hAnsi="Garamond"/>
          <w:color w:val="000000" w:themeColor="text1"/>
        </w:rPr>
        <w:t xml:space="preserve">but that </w:t>
      </w:r>
      <w:r>
        <w:rPr>
          <w:rFonts w:ascii="Garamond" w:hAnsi="Garamond"/>
          <w:color w:val="000000" w:themeColor="text1"/>
        </w:rPr>
        <w:t>one of the largest threats to U.S. national security</w:t>
      </w:r>
      <w:r w:rsidR="00C74E85">
        <w:rPr>
          <w:rFonts w:ascii="Garamond" w:hAnsi="Garamond"/>
          <w:color w:val="000000" w:themeColor="text1"/>
        </w:rPr>
        <w:t>, Japan,</w:t>
      </w:r>
      <w:r>
        <w:rPr>
          <w:rFonts w:ascii="Garamond" w:hAnsi="Garamond"/>
          <w:color w:val="000000" w:themeColor="text1"/>
        </w:rPr>
        <w:t xml:space="preserve"> was taking measures to secure</w:t>
      </w:r>
      <w:r w:rsidR="000E5484">
        <w:rPr>
          <w:rFonts w:ascii="Garamond" w:hAnsi="Garamond"/>
          <w:color w:val="000000" w:themeColor="text1"/>
        </w:rPr>
        <w:t xml:space="preserve"> its</w:t>
      </w:r>
      <w:r>
        <w:rPr>
          <w:rFonts w:ascii="Garamond" w:hAnsi="Garamond"/>
          <w:color w:val="000000" w:themeColor="text1"/>
        </w:rPr>
        <w:t xml:space="preserve"> oil reserves. In time of war, the aforementioned areas in which Japan showed interest would provide oil for enemy Japanese fleets. </w:t>
      </w:r>
      <w:r w:rsidR="00665B03">
        <w:rPr>
          <w:rFonts w:ascii="Garamond" w:hAnsi="Garamond"/>
          <w:color w:val="000000" w:themeColor="text1"/>
        </w:rPr>
        <w:t xml:space="preserve">This also worried Wilson’s Secretary of the Navy Josephus Daniels, who </w:t>
      </w:r>
      <w:r w:rsidR="00665B03">
        <w:rPr>
          <w:rFonts w:ascii="Garamond" w:hAnsi="Garamond"/>
          <w:color w:val="000000" w:themeColor="text1"/>
        </w:rPr>
        <w:lastRenderedPageBreak/>
        <w:t xml:space="preserve">spent the better part of </w:t>
      </w:r>
      <w:r w:rsidR="00CA6580">
        <w:rPr>
          <w:rFonts w:ascii="Garamond" w:hAnsi="Garamond"/>
          <w:color w:val="000000" w:themeColor="text1"/>
        </w:rPr>
        <w:t>the</w:t>
      </w:r>
      <w:r w:rsidR="00665B03">
        <w:rPr>
          <w:rFonts w:ascii="Garamond" w:hAnsi="Garamond"/>
          <w:color w:val="000000" w:themeColor="text1"/>
        </w:rPr>
        <w:t xml:space="preserve"> decade considering a war </w:t>
      </w:r>
      <w:r w:rsidR="000E5484">
        <w:rPr>
          <w:rFonts w:ascii="Garamond" w:hAnsi="Garamond"/>
          <w:color w:val="000000" w:themeColor="text1"/>
        </w:rPr>
        <w:t xml:space="preserve">in the Pacific </w:t>
      </w:r>
      <w:r w:rsidR="00665B03">
        <w:rPr>
          <w:rFonts w:ascii="Garamond" w:hAnsi="Garamond"/>
          <w:color w:val="000000" w:themeColor="text1"/>
        </w:rPr>
        <w:t>with Japan.</w:t>
      </w:r>
      <w:r w:rsidR="00665B03">
        <w:rPr>
          <w:rStyle w:val="FootnoteReference"/>
          <w:rFonts w:ascii="Garamond" w:hAnsi="Garamond"/>
          <w:color w:val="000000" w:themeColor="text1"/>
        </w:rPr>
        <w:footnoteReference w:id="121"/>
      </w:r>
      <w:r w:rsidR="00022F21">
        <w:rPr>
          <w:rFonts w:ascii="Garamond" w:hAnsi="Garamond"/>
          <w:color w:val="000000" w:themeColor="text1"/>
        </w:rPr>
        <w:t xml:space="preserve"> And, referencing Yale’s first memorandum from this time, the Open Door would </w:t>
      </w:r>
      <w:r w:rsidR="00CA6580">
        <w:rPr>
          <w:rFonts w:ascii="Garamond" w:hAnsi="Garamond"/>
          <w:color w:val="000000" w:themeColor="text1"/>
        </w:rPr>
        <w:t>prove</w:t>
      </w:r>
      <w:r w:rsidR="00022F21">
        <w:rPr>
          <w:rFonts w:ascii="Garamond" w:hAnsi="Garamond"/>
          <w:color w:val="000000" w:themeColor="text1"/>
        </w:rPr>
        <w:t xml:space="preserve"> essential to creating the power needed to beat the Japanese fleets.  </w:t>
      </w:r>
    </w:p>
    <w:p w14:paraId="15E07D7C" w14:textId="5A5F670F"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By May 1919,</w:t>
      </w:r>
      <w:r w:rsidR="00145EEB">
        <w:rPr>
          <w:rFonts w:ascii="Garamond" w:hAnsi="Garamond"/>
          <w:color w:val="000000" w:themeColor="text1"/>
        </w:rPr>
        <w:t xml:space="preserve"> Yale had advocated for a key </w:t>
      </w:r>
      <w:r w:rsidRPr="001B1C7A">
        <w:rPr>
          <w:rFonts w:ascii="Garamond" w:hAnsi="Garamond"/>
          <w:color w:val="000000" w:themeColor="text1"/>
        </w:rPr>
        <w:t>principle of U.S. oil polic</w:t>
      </w:r>
      <w:r w:rsidR="000D4E25">
        <w:rPr>
          <w:rFonts w:ascii="Garamond" w:hAnsi="Garamond"/>
          <w:color w:val="000000" w:themeColor="text1"/>
        </w:rPr>
        <w:t>y</w:t>
      </w:r>
      <w:r w:rsidRPr="001B1C7A">
        <w:rPr>
          <w:rFonts w:ascii="Garamond" w:hAnsi="Garamond"/>
          <w:color w:val="000000" w:themeColor="text1"/>
        </w:rPr>
        <w:t xml:space="preserve"> on the horizon</w:t>
      </w:r>
      <w:r w:rsidR="000D4E25">
        <w:rPr>
          <w:rFonts w:ascii="Garamond" w:hAnsi="Garamond"/>
          <w:color w:val="000000" w:themeColor="text1"/>
        </w:rPr>
        <w:t>:</w:t>
      </w:r>
      <w:r w:rsidRPr="001B1C7A">
        <w:rPr>
          <w:rFonts w:ascii="Garamond" w:hAnsi="Garamond"/>
          <w:color w:val="000000" w:themeColor="text1"/>
        </w:rPr>
        <w:t xml:space="preserve"> </w:t>
      </w:r>
      <w:r w:rsidR="00227ABC" w:rsidRPr="001B1C7A">
        <w:rPr>
          <w:rFonts w:ascii="Garamond" w:hAnsi="Garamond"/>
          <w:color w:val="000000" w:themeColor="text1"/>
        </w:rPr>
        <w:t>The</w:t>
      </w:r>
      <w:r w:rsidRPr="001B1C7A">
        <w:rPr>
          <w:rFonts w:ascii="Garamond" w:hAnsi="Garamond"/>
          <w:color w:val="000000" w:themeColor="text1"/>
        </w:rPr>
        <w:t xml:space="preserve"> Open-Door towards the Middle East, officially articulated by the U.S. in </w:t>
      </w:r>
      <w:r w:rsidR="00CA6580">
        <w:rPr>
          <w:rFonts w:ascii="Garamond" w:hAnsi="Garamond"/>
          <w:color w:val="000000" w:themeColor="text1"/>
        </w:rPr>
        <w:t xml:space="preserve">July </w:t>
      </w:r>
      <w:r w:rsidRPr="001B1C7A">
        <w:rPr>
          <w:rFonts w:ascii="Garamond" w:hAnsi="Garamond"/>
          <w:color w:val="000000" w:themeColor="text1"/>
        </w:rPr>
        <w:t>19</w:t>
      </w:r>
      <w:r w:rsidR="000D4E25">
        <w:rPr>
          <w:rFonts w:ascii="Garamond" w:hAnsi="Garamond"/>
          <w:color w:val="000000" w:themeColor="text1"/>
        </w:rPr>
        <w:t>2</w:t>
      </w:r>
      <w:r w:rsidR="00CA6580">
        <w:rPr>
          <w:rFonts w:ascii="Garamond" w:hAnsi="Garamond"/>
          <w:color w:val="000000" w:themeColor="text1"/>
        </w:rPr>
        <w:t>0</w:t>
      </w:r>
      <w:r w:rsidRPr="001B1C7A">
        <w:rPr>
          <w:rFonts w:ascii="Garamond" w:hAnsi="Garamond"/>
          <w:color w:val="000000" w:themeColor="text1"/>
        </w:rPr>
        <w:t>.</w:t>
      </w:r>
      <w:r w:rsidR="00227ABC">
        <w:rPr>
          <w:rStyle w:val="FootnoteReference"/>
          <w:rFonts w:ascii="Garamond" w:hAnsi="Garamond"/>
          <w:color w:val="000000" w:themeColor="text1"/>
        </w:rPr>
        <w:footnoteReference w:id="122"/>
      </w:r>
      <w:r w:rsidRPr="001B1C7A">
        <w:rPr>
          <w:rFonts w:ascii="Garamond" w:hAnsi="Garamond"/>
          <w:color w:val="000000" w:themeColor="text1"/>
        </w:rPr>
        <w:t xml:space="preserve"> </w:t>
      </w:r>
      <w:r w:rsidR="000D4E25">
        <w:rPr>
          <w:rFonts w:ascii="Garamond" w:hAnsi="Garamond"/>
          <w:color w:val="000000" w:themeColor="text1"/>
        </w:rPr>
        <w:t xml:space="preserve">This early advocacy established Yale as an expert on oil as well as a member of the </w:t>
      </w:r>
      <w:r w:rsidR="00C6532D">
        <w:rPr>
          <w:rFonts w:ascii="Garamond" w:hAnsi="Garamond"/>
          <w:color w:val="000000" w:themeColor="text1"/>
        </w:rPr>
        <w:t>K.C.C</w:t>
      </w:r>
      <w:r w:rsidR="000D4E25">
        <w:rPr>
          <w:rFonts w:ascii="Garamond" w:hAnsi="Garamond"/>
          <w:color w:val="000000" w:themeColor="text1"/>
        </w:rPr>
        <w:t xml:space="preserve">. </w:t>
      </w:r>
      <w:r w:rsidRPr="001B1C7A">
        <w:rPr>
          <w:rFonts w:ascii="Garamond" w:hAnsi="Garamond"/>
          <w:color w:val="000000" w:themeColor="text1"/>
        </w:rPr>
        <w:t xml:space="preserve">Yale </w:t>
      </w:r>
      <w:r w:rsidR="000E5484">
        <w:rPr>
          <w:rFonts w:ascii="Garamond" w:hAnsi="Garamond"/>
          <w:color w:val="000000" w:themeColor="text1"/>
        </w:rPr>
        <w:t xml:space="preserve">would work to push these ideas to high level policymakers to ensure the U.S.’s national security. </w:t>
      </w:r>
    </w:p>
    <w:p w14:paraId="603ABFE8" w14:textId="77777777" w:rsidR="0030323A" w:rsidRDefault="0030323A" w:rsidP="0030323A">
      <w:pPr>
        <w:pStyle w:val="Heading3"/>
        <w:numPr>
          <w:ilvl w:val="0"/>
          <w:numId w:val="35"/>
        </w:numPr>
        <w:rPr>
          <w:rFonts w:ascii="Garamond" w:hAnsi="Garamond"/>
          <w:color w:val="000000" w:themeColor="text1"/>
        </w:rPr>
      </w:pPr>
      <w:bookmarkStart w:id="44" w:name="_Toc66731795"/>
      <w:r w:rsidRPr="00E92768">
        <w:rPr>
          <w:rFonts w:ascii="Garamond" w:hAnsi="Garamond"/>
          <w:color w:val="000000" w:themeColor="text1"/>
        </w:rPr>
        <w:t>May 1919: The Dangers of the Selfish Exploitation of the Turkish Empire</w:t>
      </w:r>
      <w:bookmarkEnd w:id="44"/>
      <w:r w:rsidRPr="00E92768">
        <w:rPr>
          <w:rFonts w:ascii="Garamond" w:hAnsi="Garamond"/>
          <w:color w:val="000000" w:themeColor="text1"/>
        </w:rPr>
        <w:t xml:space="preserve"> </w:t>
      </w:r>
    </w:p>
    <w:p w14:paraId="48E11A85" w14:textId="77777777" w:rsidR="0030323A" w:rsidRPr="00E92768" w:rsidRDefault="0030323A" w:rsidP="0030323A"/>
    <w:p w14:paraId="7EC34817" w14:textId="12B9748D" w:rsidR="0030323A" w:rsidRPr="001B1C7A" w:rsidRDefault="00C94F10" w:rsidP="0030323A">
      <w:pPr>
        <w:spacing w:line="480" w:lineRule="auto"/>
        <w:ind w:firstLine="720"/>
        <w:rPr>
          <w:rFonts w:ascii="Garamond" w:hAnsi="Garamond"/>
          <w:color w:val="000000" w:themeColor="text1"/>
        </w:rPr>
      </w:pPr>
      <w:r>
        <w:rPr>
          <w:rFonts w:ascii="Garamond" w:hAnsi="Garamond"/>
          <w:color w:val="000000" w:themeColor="text1"/>
        </w:rPr>
        <w:t xml:space="preserve">King and Crane </w:t>
      </w:r>
      <w:r w:rsidR="00623699">
        <w:rPr>
          <w:rFonts w:ascii="Garamond" w:hAnsi="Garamond"/>
          <w:color w:val="000000" w:themeColor="text1"/>
        </w:rPr>
        <w:t xml:space="preserve">also </w:t>
      </w:r>
      <w:r>
        <w:rPr>
          <w:rFonts w:ascii="Garamond" w:hAnsi="Garamond"/>
          <w:color w:val="000000" w:themeColor="text1"/>
        </w:rPr>
        <w:t>show</w:t>
      </w:r>
      <w:r w:rsidR="00CA6580">
        <w:rPr>
          <w:rFonts w:ascii="Garamond" w:hAnsi="Garamond"/>
          <w:color w:val="000000" w:themeColor="text1"/>
        </w:rPr>
        <w:t>ed</w:t>
      </w:r>
      <w:r>
        <w:rPr>
          <w:rFonts w:ascii="Garamond" w:hAnsi="Garamond"/>
          <w:color w:val="000000" w:themeColor="text1"/>
        </w:rPr>
        <w:t xml:space="preserve"> a predisposition towards the Open</w:t>
      </w:r>
      <w:r w:rsidR="00870E77">
        <w:rPr>
          <w:rFonts w:ascii="Garamond" w:hAnsi="Garamond"/>
          <w:color w:val="000000" w:themeColor="text1"/>
        </w:rPr>
        <w:t>-</w:t>
      </w:r>
      <w:r>
        <w:rPr>
          <w:rFonts w:ascii="Garamond" w:hAnsi="Garamond"/>
          <w:color w:val="000000" w:themeColor="text1"/>
        </w:rPr>
        <w:t xml:space="preserve">Door in </w:t>
      </w:r>
      <w:r w:rsidR="00227ABC">
        <w:rPr>
          <w:rFonts w:ascii="Garamond" w:hAnsi="Garamond"/>
          <w:color w:val="000000" w:themeColor="text1"/>
        </w:rPr>
        <w:t>an</w:t>
      </w:r>
      <w:r>
        <w:rPr>
          <w:rFonts w:ascii="Garamond" w:hAnsi="Garamond"/>
          <w:color w:val="000000" w:themeColor="text1"/>
        </w:rPr>
        <w:t xml:space="preserve"> early May letter to President Wilson</w:t>
      </w:r>
      <w:r w:rsidR="0030323A" w:rsidRPr="001B1C7A">
        <w:rPr>
          <w:rFonts w:ascii="Garamond" w:hAnsi="Garamond"/>
          <w:color w:val="000000" w:themeColor="text1"/>
        </w:rPr>
        <w:t>.</w:t>
      </w:r>
      <w:r w:rsidR="0030323A" w:rsidRPr="001B1C7A">
        <w:rPr>
          <w:rStyle w:val="FootnoteReference"/>
          <w:rFonts w:ascii="Garamond" w:hAnsi="Garamond"/>
          <w:color w:val="000000" w:themeColor="text1"/>
        </w:rPr>
        <w:footnoteReference w:id="123"/>
      </w:r>
      <w:r w:rsidR="0030323A" w:rsidRPr="001B1C7A">
        <w:rPr>
          <w:rFonts w:ascii="Garamond" w:hAnsi="Garamond"/>
          <w:color w:val="000000" w:themeColor="text1"/>
        </w:rPr>
        <w:t xml:space="preserve"> </w:t>
      </w:r>
      <w:r w:rsidR="00227ABC">
        <w:rPr>
          <w:rFonts w:ascii="Garamond" w:hAnsi="Garamond"/>
          <w:color w:val="000000" w:themeColor="text1"/>
        </w:rPr>
        <w:t>B</w:t>
      </w:r>
      <w:r w:rsidR="0030323A" w:rsidRPr="001B1C7A">
        <w:rPr>
          <w:rFonts w:ascii="Garamond" w:hAnsi="Garamond"/>
          <w:color w:val="000000" w:themeColor="text1"/>
        </w:rPr>
        <w:t xml:space="preserve">efore arriving </w:t>
      </w:r>
      <w:r w:rsidR="00227ABC">
        <w:rPr>
          <w:rFonts w:ascii="Garamond" w:hAnsi="Garamond"/>
          <w:color w:val="000000" w:themeColor="text1"/>
        </w:rPr>
        <w:t>to the</w:t>
      </w:r>
      <w:r w:rsidR="0030323A" w:rsidRPr="001B1C7A">
        <w:rPr>
          <w:rFonts w:ascii="Garamond" w:hAnsi="Garamond"/>
          <w:color w:val="000000" w:themeColor="text1"/>
        </w:rPr>
        <w:t xml:space="preserve"> Levant, the heads of the </w:t>
      </w:r>
      <w:r w:rsidR="00C6532D">
        <w:rPr>
          <w:rFonts w:ascii="Garamond" w:hAnsi="Garamond"/>
          <w:color w:val="000000" w:themeColor="text1"/>
        </w:rPr>
        <w:t>K.C.C.</w:t>
      </w:r>
      <w:r w:rsidR="0030323A" w:rsidRPr="001B1C7A">
        <w:rPr>
          <w:rFonts w:ascii="Garamond" w:hAnsi="Garamond"/>
          <w:color w:val="000000" w:themeColor="text1"/>
        </w:rPr>
        <w:t xml:space="preserve"> attempted to qualify certain assumptions about the division of the Ottoman Empire. These assumptions, generally, touch on the necessity of breaking up the Ottoman Empire and letting its people participate in choosing their future.</w:t>
      </w:r>
      <w:r w:rsidR="0030323A" w:rsidRPr="001B1C7A">
        <w:rPr>
          <w:rStyle w:val="FootnoteReference"/>
          <w:rFonts w:ascii="Garamond" w:hAnsi="Garamond"/>
          <w:color w:val="000000" w:themeColor="text1"/>
        </w:rPr>
        <w:footnoteReference w:id="124"/>
      </w:r>
      <w:r w:rsidR="0030323A" w:rsidRPr="001B1C7A">
        <w:rPr>
          <w:rFonts w:ascii="Garamond" w:hAnsi="Garamond"/>
          <w:color w:val="000000" w:themeColor="text1"/>
        </w:rPr>
        <w:t xml:space="preserve"> The first section of the memorandum warns</w:t>
      </w:r>
      <w:r w:rsidR="00CA6580">
        <w:rPr>
          <w:rFonts w:ascii="Garamond" w:hAnsi="Garamond"/>
          <w:color w:val="000000" w:themeColor="text1"/>
        </w:rPr>
        <w:t xml:space="preserve"> </w:t>
      </w:r>
      <w:r w:rsidR="0030323A" w:rsidRPr="001B1C7A">
        <w:rPr>
          <w:rFonts w:ascii="Garamond" w:hAnsi="Garamond"/>
          <w:color w:val="000000" w:themeColor="text1"/>
        </w:rPr>
        <w:t>of the eight “Dangers to the Allies from a Selfish Exploitation of the Turkish Empire.”</w:t>
      </w:r>
      <w:r w:rsidR="0030323A" w:rsidRPr="001B1C7A">
        <w:rPr>
          <w:rStyle w:val="FootnoteReference"/>
          <w:rFonts w:ascii="Garamond" w:hAnsi="Garamond"/>
          <w:color w:val="000000" w:themeColor="text1"/>
        </w:rPr>
        <w:footnoteReference w:id="125"/>
      </w:r>
      <w:r w:rsidR="0030323A" w:rsidRPr="001B1C7A">
        <w:rPr>
          <w:rFonts w:ascii="Garamond" w:hAnsi="Garamond"/>
          <w:color w:val="000000" w:themeColor="text1"/>
        </w:rPr>
        <w:t xml:space="preserve"> King and Crane begin with “in the proportion in which the division of the Turkish Empire by the allies approaches a division primarily determined by the selfish national and corporate interests of the allies … will be subject to the following dangers.”</w:t>
      </w:r>
      <w:r w:rsidR="0030323A" w:rsidRPr="001B1C7A">
        <w:rPr>
          <w:rStyle w:val="FootnoteReference"/>
          <w:rFonts w:ascii="Garamond" w:hAnsi="Garamond"/>
          <w:color w:val="000000" w:themeColor="text1"/>
        </w:rPr>
        <w:footnoteReference w:id="126"/>
      </w:r>
      <w:r w:rsidR="0030323A" w:rsidRPr="001B1C7A">
        <w:rPr>
          <w:rFonts w:ascii="Garamond" w:hAnsi="Garamond"/>
          <w:color w:val="000000" w:themeColor="text1"/>
        </w:rPr>
        <w:t xml:space="preserve"> </w:t>
      </w:r>
      <w:r w:rsidR="001E26F6">
        <w:rPr>
          <w:rFonts w:ascii="Garamond" w:hAnsi="Garamond"/>
          <w:color w:val="000000" w:themeColor="text1"/>
        </w:rPr>
        <w:t>It starts with a rebuke of</w:t>
      </w:r>
      <w:r w:rsidR="0030323A" w:rsidRPr="001B1C7A">
        <w:rPr>
          <w:rFonts w:ascii="Garamond" w:hAnsi="Garamond"/>
          <w:color w:val="000000" w:themeColor="text1"/>
        </w:rPr>
        <w:t xml:space="preserve"> European exclusionary activities in the Middle East, as the British were blatantly reneging on wartime promises in the name of corporate interests. </w:t>
      </w:r>
      <w:r w:rsidR="00BF79CD">
        <w:rPr>
          <w:rFonts w:ascii="Garamond" w:hAnsi="Garamond"/>
          <w:color w:val="000000" w:themeColor="text1"/>
        </w:rPr>
        <w:t xml:space="preserve">Although U.S. corporate interests were attempting to influence policymaker’s thoughts, there did not exist the direct connection between the U.S. and oil companies that existed between Britain and Anglo – </w:t>
      </w:r>
      <w:r w:rsidR="00BF79CD">
        <w:rPr>
          <w:rFonts w:ascii="Garamond" w:hAnsi="Garamond"/>
          <w:color w:val="000000" w:themeColor="text1"/>
        </w:rPr>
        <w:lastRenderedPageBreak/>
        <w:t xml:space="preserve">Persian. </w:t>
      </w:r>
      <w:r w:rsidR="0030323A" w:rsidRPr="001B1C7A">
        <w:rPr>
          <w:rFonts w:ascii="Garamond" w:hAnsi="Garamond"/>
          <w:color w:val="000000" w:themeColor="text1"/>
        </w:rPr>
        <w:t xml:space="preserve">Perhaps Yale’s memoranda and Westermann’s efforts emphasized the degree to which the British and French were already trying to divide the Middle East </w:t>
      </w:r>
      <w:r w:rsidR="002A7BB3">
        <w:rPr>
          <w:rFonts w:ascii="Garamond" w:hAnsi="Garamond"/>
          <w:color w:val="000000" w:themeColor="text1"/>
        </w:rPr>
        <w:t>for</w:t>
      </w:r>
      <w:r w:rsidR="0030323A" w:rsidRPr="001B1C7A">
        <w:rPr>
          <w:rFonts w:ascii="Garamond" w:hAnsi="Garamond"/>
          <w:color w:val="000000" w:themeColor="text1"/>
        </w:rPr>
        <w:t xml:space="preserve"> corporate interests. </w:t>
      </w:r>
    </w:p>
    <w:p w14:paraId="24B18A27" w14:textId="70265E74"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The most dam</w:t>
      </w:r>
      <w:r w:rsidR="00F850DD">
        <w:rPr>
          <w:rFonts w:ascii="Garamond" w:hAnsi="Garamond"/>
          <w:color w:val="000000" w:themeColor="text1"/>
        </w:rPr>
        <w:t>n</w:t>
      </w:r>
      <w:r w:rsidRPr="001B1C7A">
        <w:rPr>
          <w:rFonts w:ascii="Garamond" w:hAnsi="Garamond"/>
          <w:color w:val="000000" w:themeColor="text1"/>
        </w:rPr>
        <w:t xml:space="preserve">ing of the eight dangers listed by King and Crane </w:t>
      </w:r>
      <w:r w:rsidR="00B559B0">
        <w:rPr>
          <w:rFonts w:ascii="Garamond" w:hAnsi="Garamond"/>
          <w:color w:val="000000" w:themeColor="text1"/>
        </w:rPr>
        <w:t>says that</w:t>
      </w:r>
      <w:r w:rsidRPr="001B1C7A">
        <w:rPr>
          <w:rFonts w:ascii="Garamond" w:hAnsi="Garamond"/>
          <w:color w:val="000000" w:themeColor="text1"/>
        </w:rPr>
        <w:t xml:space="preserve"> “America cannot be expected to furnish financial backing for schemes of selfish exploitation – even sometimes directed precisely against herself.”</w:t>
      </w:r>
      <w:r w:rsidRPr="001B1C7A">
        <w:rPr>
          <w:rStyle w:val="FootnoteReference"/>
          <w:rFonts w:ascii="Garamond" w:hAnsi="Garamond"/>
          <w:color w:val="000000" w:themeColor="text1"/>
        </w:rPr>
        <w:footnoteReference w:id="127"/>
      </w:r>
      <w:r w:rsidRPr="001B1C7A">
        <w:rPr>
          <w:rFonts w:ascii="Garamond" w:hAnsi="Garamond"/>
          <w:color w:val="000000" w:themeColor="text1"/>
        </w:rPr>
        <w:t xml:space="preserve"> Selfish exploitation undertaken directly against the U.S. takes the form of the Sykes – Picot Agreement, the Long – Bérenger </w:t>
      </w:r>
      <w:r w:rsidR="00F62DD4">
        <w:rPr>
          <w:rFonts w:ascii="Garamond" w:hAnsi="Garamond"/>
          <w:color w:val="000000" w:themeColor="text1"/>
        </w:rPr>
        <w:t>a</w:t>
      </w:r>
      <w:r w:rsidRPr="001B1C7A">
        <w:rPr>
          <w:rFonts w:ascii="Garamond" w:hAnsi="Garamond"/>
          <w:color w:val="000000" w:themeColor="text1"/>
        </w:rPr>
        <w:t>ddendum or the T.PC. By discussing America’s aversion to selfish exploitation, King and Crane’s memorandum condemns all of these agreements</w:t>
      </w:r>
      <w:r w:rsidR="00CA6580">
        <w:rPr>
          <w:rFonts w:ascii="Garamond" w:hAnsi="Garamond"/>
          <w:color w:val="000000" w:themeColor="text1"/>
        </w:rPr>
        <w:t>,</w:t>
      </w:r>
      <w:r w:rsidRPr="001B1C7A">
        <w:rPr>
          <w:rFonts w:ascii="Garamond" w:hAnsi="Garamond"/>
          <w:color w:val="000000" w:themeColor="text1"/>
        </w:rPr>
        <w:t xml:space="preserve"> to Wilson. If the commissioners had not been aware of European exclusionary oil practices before April 1919, Westermann and Yale’s activities in the first month</w:t>
      </w:r>
      <w:r w:rsidR="00CA6580">
        <w:rPr>
          <w:rFonts w:ascii="Garamond" w:hAnsi="Garamond"/>
          <w:color w:val="000000" w:themeColor="text1"/>
        </w:rPr>
        <w:t>s</w:t>
      </w:r>
      <w:r w:rsidRPr="001B1C7A">
        <w:rPr>
          <w:rFonts w:ascii="Garamond" w:hAnsi="Garamond"/>
          <w:color w:val="000000" w:themeColor="text1"/>
        </w:rPr>
        <w:t xml:space="preserve"> of the </w:t>
      </w:r>
      <w:r w:rsidR="00C6532D">
        <w:rPr>
          <w:rFonts w:ascii="Garamond" w:hAnsi="Garamond"/>
          <w:color w:val="000000" w:themeColor="text1"/>
        </w:rPr>
        <w:t>K.C.C.</w:t>
      </w:r>
      <w:r w:rsidRPr="001B1C7A">
        <w:rPr>
          <w:rFonts w:ascii="Garamond" w:hAnsi="Garamond"/>
          <w:color w:val="000000" w:themeColor="text1"/>
        </w:rPr>
        <w:t xml:space="preserve">’s </w:t>
      </w:r>
      <w:r w:rsidR="00CA6580">
        <w:rPr>
          <w:rFonts w:ascii="Garamond" w:hAnsi="Garamond"/>
          <w:color w:val="000000" w:themeColor="text1"/>
        </w:rPr>
        <w:t>inception</w:t>
      </w:r>
      <w:r w:rsidRPr="001B1C7A">
        <w:rPr>
          <w:rFonts w:ascii="Garamond" w:hAnsi="Garamond"/>
          <w:color w:val="000000" w:themeColor="text1"/>
        </w:rPr>
        <w:t xml:space="preserve"> enlightened them, an indication of Westermann’s statement “the knowledge of the office and the plan in their heads” b</w:t>
      </w:r>
      <w:r w:rsidR="00F850DD">
        <w:rPr>
          <w:rFonts w:ascii="Garamond" w:hAnsi="Garamond"/>
          <w:color w:val="000000" w:themeColor="text1"/>
        </w:rPr>
        <w:t>e</w:t>
      </w:r>
      <w:r w:rsidRPr="001B1C7A">
        <w:rPr>
          <w:rFonts w:ascii="Garamond" w:hAnsi="Garamond"/>
          <w:color w:val="000000" w:themeColor="text1"/>
        </w:rPr>
        <w:t>aring fruit.</w:t>
      </w:r>
      <w:r w:rsidRPr="001B1C7A">
        <w:rPr>
          <w:rStyle w:val="FootnoteReference"/>
          <w:rFonts w:ascii="Garamond" w:hAnsi="Garamond"/>
          <w:color w:val="000000" w:themeColor="text1"/>
        </w:rPr>
        <w:footnoteReference w:id="128"/>
      </w:r>
      <w:r w:rsidRPr="001B1C7A">
        <w:rPr>
          <w:rFonts w:ascii="Garamond" w:hAnsi="Garamond"/>
          <w:color w:val="000000" w:themeColor="text1"/>
        </w:rPr>
        <w:t xml:space="preserve"> In a later section, King and Crane then write, “the age-long and hideous misrule of the Turk, coupled with their occupation of territory of critical significance to the world, make unusual restrictions necessary in their case, for the good of the world.”</w:t>
      </w:r>
      <w:r w:rsidRPr="001B1C7A">
        <w:rPr>
          <w:rStyle w:val="FootnoteReference"/>
          <w:rFonts w:ascii="Garamond" w:hAnsi="Garamond"/>
          <w:color w:val="000000" w:themeColor="text1"/>
        </w:rPr>
        <w:footnoteReference w:id="129"/>
      </w:r>
      <w:r w:rsidR="00875F79">
        <w:rPr>
          <w:rFonts w:ascii="Garamond" w:hAnsi="Garamond"/>
          <w:color w:val="000000" w:themeColor="text1"/>
        </w:rPr>
        <w:t xml:space="preserve"> </w:t>
      </w:r>
      <w:r w:rsidRPr="001B1C7A">
        <w:rPr>
          <w:rFonts w:ascii="Garamond" w:hAnsi="Garamond"/>
          <w:color w:val="000000" w:themeColor="text1"/>
        </w:rPr>
        <w:t xml:space="preserve">This rhetoric exemplifies that of the </w:t>
      </w:r>
      <w:r w:rsidR="00227ABC">
        <w:rPr>
          <w:rFonts w:ascii="Garamond" w:hAnsi="Garamond"/>
          <w:color w:val="000000" w:themeColor="text1"/>
        </w:rPr>
        <w:t>Open – Door:</w:t>
      </w:r>
      <w:r w:rsidRPr="001B1C7A">
        <w:rPr>
          <w:rFonts w:ascii="Garamond" w:hAnsi="Garamond"/>
          <w:color w:val="000000" w:themeColor="text1"/>
        </w:rPr>
        <w:t xml:space="preserve"> resources must </w:t>
      </w:r>
      <w:r w:rsidR="00227ABC">
        <w:rPr>
          <w:rFonts w:ascii="Garamond" w:hAnsi="Garamond"/>
          <w:color w:val="000000" w:themeColor="text1"/>
        </w:rPr>
        <w:t>be available</w:t>
      </w:r>
      <w:r w:rsidRPr="001B1C7A">
        <w:rPr>
          <w:rFonts w:ascii="Garamond" w:hAnsi="Garamond"/>
          <w:color w:val="000000" w:themeColor="text1"/>
        </w:rPr>
        <w:t xml:space="preserve"> </w:t>
      </w:r>
      <w:r w:rsidR="00163340">
        <w:rPr>
          <w:rFonts w:ascii="Garamond" w:hAnsi="Garamond"/>
          <w:color w:val="000000" w:themeColor="text1"/>
        </w:rPr>
        <w:t>for</w:t>
      </w:r>
      <w:r w:rsidRPr="001B1C7A">
        <w:rPr>
          <w:rFonts w:ascii="Garamond" w:hAnsi="Garamond"/>
          <w:color w:val="000000" w:themeColor="text1"/>
        </w:rPr>
        <w:t xml:space="preserve"> the </w:t>
      </w:r>
      <w:r w:rsidR="00163340">
        <w:rPr>
          <w:rFonts w:ascii="Garamond" w:hAnsi="Garamond"/>
          <w:color w:val="000000" w:themeColor="text1"/>
        </w:rPr>
        <w:t>“</w:t>
      </w:r>
      <w:r w:rsidRPr="001B1C7A">
        <w:rPr>
          <w:rFonts w:ascii="Garamond" w:hAnsi="Garamond"/>
          <w:color w:val="000000" w:themeColor="text1"/>
        </w:rPr>
        <w:t>good of the world,</w:t>
      </w:r>
      <w:r w:rsidR="00163340">
        <w:rPr>
          <w:rFonts w:ascii="Garamond" w:hAnsi="Garamond"/>
          <w:color w:val="000000" w:themeColor="text1"/>
        </w:rPr>
        <w:t>”</w:t>
      </w:r>
      <w:r w:rsidRPr="001B1C7A">
        <w:rPr>
          <w:rFonts w:ascii="Garamond" w:hAnsi="Garamond"/>
          <w:color w:val="000000" w:themeColor="text1"/>
        </w:rPr>
        <w:t xml:space="preserve"> not </w:t>
      </w:r>
      <w:r w:rsidR="00163340">
        <w:rPr>
          <w:rFonts w:ascii="Garamond" w:hAnsi="Garamond"/>
          <w:color w:val="000000" w:themeColor="text1"/>
        </w:rPr>
        <w:t xml:space="preserve">for </w:t>
      </w:r>
      <w:r w:rsidRPr="001B1C7A">
        <w:rPr>
          <w:rFonts w:ascii="Garamond" w:hAnsi="Garamond"/>
          <w:color w:val="000000" w:themeColor="text1"/>
        </w:rPr>
        <w:t>the good of selfish interests.</w:t>
      </w:r>
      <w:r w:rsidR="00DB7E18">
        <w:rPr>
          <w:rFonts w:ascii="Garamond" w:hAnsi="Garamond"/>
          <w:color w:val="000000" w:themeColor="text1"/>
        </w:rPr>
        <w:t xml:space="preserve"> </w:t>
      </w:r>
      <w:r w:rsidRPr="001B1C7A">
        <w:rPr>
          <w:rFonts w:ascii="Garamond" w:hAnsi="Garamond"/>
          <w:color w:val="000000" w:themeColor="text1"/>
        </w:rPr>
        <w:t>In this case, though, the “good of the world” mean</w:t>
      </w:r>
      <w:r w:rsidR="00163340">
        <w:rPr>
          <w:rFonts w:ascii="Garamond" w:hAnsi="Garamond"/>
          <w:color w:val="000000" w:themeColor="text1"/>
        </w:rPr>
        <w:t>t</w:t>
      </w:r>
      <w:r w:rsidRPr="001B1C7A">
        <w:rPr>
          <w:rFonts w:ascii="Garamond" w:hAnsi="Garamond"/>
          <w:color w:val="000000" w:themeColor="text1"/>
        </w:rPr>
        <w:t xml:space="preserve"> that the British and French must not discriminate against Americans.</w:t>
      </w:r>
      <w:r w:rsidR="00227ABC">
        <w:rPr>
          <w:rStyle w:val="FootnoteReference"/>
          <w:rFonts w:ascii="Garamond" w:hAnsi="Garamond"/>
          <w:color w:val="000000" w:themeColor="text1"/>
        </w:rPr>
        <w:footnoteReference w:id="130"/>
      </w:r>
      <w:r w:rsidR="0003268B">
        <w:rPr>
          <w:rFonts w:ascii="Garamond" w:hAnsi="Garamond"/>
          <w:color w:val="000000" w:themeColor="text1"/>
        </w:rPr>
        <w:t xml:space="preserve"> </w:t>
      </w:r>
      <w:r w:rsidRPr="001B1C7A">
        <w:rPr>
          <w:rFonts w:ascii="Garamond" w:hAnsi="Garamond"/>
          <w:color w:val="000000" w:themeColor="text1"/>
        </w:rPr>
        <w:t xml:space="preserve">King and Crane inclined towards principles of the </w:t>
      </w:r>
      <w:r w:rsidR="00C6532D">
        <w:rPr>
          <w:rFonts w:ascii="Garamond" w:hAnsi="Garamond"/>
          <w:color w:val="000000" w:themeColor="text1"/>
        </w:rPr>
        <w:t>Open Door</w:t>
      </w:r>
      <w:r w:rsidRPr="001B1C7A">
        <w:rPr>
          <w:rFonts w:ascii="Garamond" w:hAnsi="Garamond"/>
          <w:color w:val="000000" w:themeColor="text1"/>
        </w:rPr>
        <w:t xml:space="preserve"> before heading to the Levant</w:t>
      </w:r>
      <w:r w:rsidR="00BD2429">
        <w:rPr>
          <w:rFonts w:ascii="Garamond" w:hAnsi="Garamond"/>
          <w:color w:val="000000" w:themeColor="text1"/>
        </w:rPr>
        <w:t xml:space="preserve">. </w:t>
      </w:r>
    </w:p>
    <w:p w14:paraId="4A0DADF1" w14:textId="77777777" w:rsidR="0030323A" w:rsidRDefault="0030323A" w:rsidP="0030323A">
      <w:pPr>
        <w:pStyle w:val="Heading3"/>
        <w:numPr>
          <w:ilvl w:val="0"/>
          <w:numId w:val="35"/>
        </w:numPr>
        <w:rPr>
          <w:rFonts w:ascii="Garamond" w:hAnsi="Garamond"/>
          <w:color w:val="000000" w:themeColor="text1"/>
        </w:rPr>
      </w:pPr>
      <w:bookmarkStart w:id="45" w:name="_Toc66731796"/>
      <w:r w:rsidRPr="00E92768">
        <w:rPr>
          <w:rFonts w:ascii="Garamond" w:hAnsi="Garamond"/>
          <w:color w:val="000000" w:themeColor="text1"/>
        </w:rPr>
        <w:t>Introduction of Standard Oil of New York</w:t>
      </w:r>
      <w:bookmarkEnd w:id="45"/>
    </w:p>
    <w:p w14:paraId="09D6E419" w14:textId="77777777" w:rsidR="0030323A" w:rsidRPr="00E92768" w:rsidRDefault="0030323A" w:rsidP="0030323A">
      <w:pPr>
        <w:pStyle w:val="Heading3"/>
        <w:rPr>
          <w:rFonts w:ascii="Garamond" w:hAnsi="Garamond"/>
          <w:color w:val="000000" w:themeColor="text1"/>
        </w:rPr>
      </w:pPr>
      <w:r w:rsidRPr="00E92768">
        <w:rPr>
          <w:rFonts w:ascii="Garamond" w:hAnsi="Garamond"/>
          <w:color w:val="000000" w:themeColor="text1"/>
        </w:rPr>
        <w:t xml:space="preserve">  </w:t>
      </w:r>
    </w:p>
    <w:p w14:paraId="37613620" w14:textId="62992AEE" w:rsidR="00DB7E18" w:rsidRPr="001B1C7A" w:rsidRDefault="00875F79" w:rsidP="00163340">
      <w:pPr>
        <w:spacing w:line="480" w:lineRule="auto"/>
        <w:ind w:firstLine="720"/>
        <w:rPr>
          <w:rFonts w:ascii="Garamond" w:hAnsi="Garamond"/>
          <w:color w:val="000000" w:themeColor="text1"/>
        </w:rPr>
      </w:pPr>
      <w:r>
        <w:rPr>
          <w:rFonts w:ascii="Garamond" w:hAnsi="Garamond"/>
          <w:color w:val="000000" w:themeColor="text1"/>
        </w:rPr>
        <w:t xml:space="preserve">Other interests also tried to impress ideas of the Open Door upon the </w:t>
      </w:r>
      <w:r w:rsidR="00C6532D">
        <w:rPr>
          <w:rFonts w:ascii="Garamond" w:hAnsi="Garamond"/>
          <w:color w:val="000000" w:themeColor="text1"/>
        </w:rPr>
        <w:t>K.C.C.</w:t>
      </w:r>
      <w:r>
        <w:rPr>
          <w:rFonts w:ascii="Garamond" w:hAnsi="Garamond"/>
          <w:color w:val="000000" w:themeColor="text1"/>
        </w:rPr>
        <w:t xml:space="preserve"> before they reached the Levant</w:t>
      </w:r>
      <w:r w:rsidR="005B3E47">
        <w:rPr>
          <w:rFonts w:ascii="Garamond" w:hAnsi="Garamond"/>
          <w:color w:val="000000" w:themeColor="text1"/>
        </w:rPr>
        <w:t>, n</w:t>
      </w:r>
      <w:r w:rsidR="00227ABC">
        <w:rPr>
          <w:rFonts w:ascii="Garamond" w:hAnsi="Garamond"/>
          <w:color w:val="000000" w:themeColor="text1"/>
        </w:rPr>
        <w:t xml:space="preserve">otably Standard Oil. </w:t>
      </w:r>
      <w:r w:rsidR="0030323A" w:rsidRPr="001B1C7A">
        <w:rPr>
          <w:rFonts w:ascii="Garamond" w:hAnsi="Garamond"/>
          <w:color w:val="000000" w:themeColor="text1"/>
        </w:rPr>
        <w:t xml:space="preserve">Though the first direct interaction with Standard Oil </w:t>
      </w:r>
      <w:r w:rsidR="005B3E47">
        <w:rPr>
          <w:rFonts w:ascii="Garamond" w:hAnsi="Garamond"/>
          <w:color w:val="000000" w:themeColor="text1"/>
        </w:rPr>
        <w:t>was</w:t>
      </w:r>
      <w:r w:rsidR="005B3E47" w:rsidRPr="001B1C7A">
        <w:rPr>
          <w:rFonts w:ascii="Garamond" w:hAnsi="Garamond"/>
          <w:color w:val="000000" w:themeColor="text1"/>
        </w:rPr>
        <w:t xml:space="preserve"> </w:t>
      </w:r>
      <w:r w:rsidR="0030323A" w:rsidRPr="001B1C7A">
        <w:rPr>
          <w:rFonts w:ascii="Garamond" w:hAnsi="Garamond"/>
          <w:color w:val="000000" w:themeColor="text1"/>
        </w:rPr>
        <w:t xml:space="preserve">brief, it </w:t>
      </w:r>
      <w:r w:rsidR="005B3E47">
        <w:rPr>
          <w:rFonts w:ascii="Garamond" w:hAnsi="Garamond"/>
          <w:color w:val="000000" w:themeColor="text1"/>
        </w:rPr>
        <w:t>was</w:t>
      </w:r>
      <w:r w:rsidR="0030323A" w:rsidRPr="001B1C7A">
        <w:rPr>
          <w:rFonts w:ascii="Garamond" w:hAnsi="Garamond"/>
          <w:color w:val="000000" w:themeColor="text1"/>
        </w:rPr>
        <w:t xml:space="preserve"> significant. On June 4, 1919, en route to Jaffa, the Commissioners stopped in Constantinople to see the Bosphorous straits. According to Lybyer’s diary, they went “to the Pera </w:t>
      </w:r>
      <w:r w:rsidR="0030323A" w:rsidRPr="001B1C7A">
        <w:rPr>
          <w:rFonts w:ascii="Garamond" w:hAnsi="Garamond"/>
          <w:color w:val="000000" w:themeColor="text1"/>
        </w:rPr>
        <w:lastRenderedPageBreak/>
        <w:t>Palace Hotel – Judge Ray went w. me in the Standard Oil Co. car.”</w:t>
      </w:r>
      <w:r w:rsidR="0030323A" w:rsidRPr="001B1C7A">
        <w:rPr>
          <w:rStyle w:val="FootnoteReference"/>
          <w:rFonts w:ascii="Garamond" w:hAnsi="Garamond"/>
          <w:color w:val="000000" w:themeColor="text1"/>
        </w:rPr>
        <w:footnoteReference w:id="131"/>
      </w:r>
      <w:r w:rsidR="0030323A" w:rsidRPr="001B1C7A">
        <w:rPr>
          <w:rFonts w:ascii="Garamond" w:hAnsi="Garamond"/>
          <w:color w:val="000000" w:themeColor="text1"/>
        </w:rPr>
        <w:t xml:space="preserve"> This may</w:t>
      </w:r>
      <w:r>
        <w:rPr>
          <w:rFonts w:ascii="Garamond" w:hAnsi="Garamond"/>
          <w:color w:val="000000" w:themeColor="text1"/>
        </w:rPr>
        <w:t xml:space="preserve"> </w:t>
      </w:r>
      <w:r w:rsidR="0030323A" w:rsidRPr="001B1C7A">
        <w:rPr>
          <w:rFonts w:ascii="Garamond" w:hAnsi="Garamond"/>
          <w:color w:val="000000" w:themeColor="text1"/>
        </w:rPr>
        <w:t xml:space="preserve">seem insignificant </w:t>
      </w:r>
      <w:r>
        <w:rPr>
          <w:rFonts w:ascii="Garamond" w:hAnsi="Garamond"/>
          <w:color w:val="000000" w:themeColor="text1"/>
        </w:rPr>
        <w:t xml:space="preserve">on the surface </w:t>
      </w:r>
      <w:r w:rsidR="0030323A" w:rsidRPr="001B1C7A">
        <w:rPr>
          <w:rFonts w:ascii="Garamond" w:hAnsi="Garamond"/>
          <w:color w:val="000000" w:themeColor="text1"/>
        </w:rPr>
        <w:t>– a simple car ride. Two sentences later, however, Lybyer proceeds with “Went w. Gunkel and Thomas in St(andard). O(il). car. G. said Americans cannot forever abstain from business.”</w:t>
      </w:r>
      <w:r w:rsidR="0030323A" w:rsidRPr="001B1C7A">
        <w:rPr>
          <w:rStyle w:val="FootnoteReference"/>
          <w:rFonts w:ascii="Garamond" w:hAnsi="Garamond"/>
          <w:color w:val="000000" w:themeColor="text1"/>
        </w:rPr>
        <w:footnoteReference w:id="132"/>
      </w:r>
      <w:r w:rsidR="0030323A" w:rsidRPr="001B1C7A">
        <w:rPr>
          <w:rFonts w:ascii="Garamond" w:hAnsi="Garamond"/>
          <w:color w:val="000000" w:themeColor="text1"/>
        </w:rPr>
        <w:t xml:space="preserve"> Gunkel was Standard Oil’s representative in Constantinople. Thomas was Lucien E. Thomas, </w:t>
      </w:r>
      <w:r w:rsidR="00163340">
        <w:rPr>
          <w:rFonts w:ascii="Garamond" w:hAnsi="Garamond"/>
          <w:color w:val="000000" w:themeColor="text1"/>
        </w:rPr>
        <w:t xml:space="preserve">a high level executive </w:t>
      </w:r>
      <w:r w:rsidR="0030323A" w:rsidRPr="001B1C7A">
        <w:rPr>
          <w:rFonts w:ascii="Garamond" w:hAnsi="Garamond"/>
          <w:color w:val="000000" w:themeColor="text1"/>
        </w:rPr>
        <w:t>of the Standard Oil Company of New York (SOCONY).</w:t>
      </w:r>
      <w:r w:rsidR="0060681C">
        <w:rPr>
          <w:rStyle w:val="FootnoteReference"/>
          <w:rFonts w:ascii="Garamond" w:hAnsi="Garamond"/>
          <w:color w:val="000000" w:themeColor="text1"/>
        </w:rPr>
        <w:footnoteReference w:id="133"/>
      </w:r>
      <w:r w:rsidR="0030323A" w:rsidRPr="001B1C7A">
        <w:rPr>
          <w:rFonts w:ascii="Garamond" w:hAnsi="Garamond"/>
          <w:color w:val="000000" w:themeColor="text1"/>
        </w:rPr>
        <w:t xml:space="preserve"> Thomas had previous contact with Yale and made extensive efforts with, and around, the </w:t>
      </w:r>
      <w:r w:rsidR="00C6532D">
        <w:rPr>
          <w:rFonts w:ascii="Garamond" w:hAnsi="Garamond"/>
          <w:color w:val="000000" w:themeColor="text1"/>
        </w:rPr>
        <w:t>K.C.C.</w:t>
      </w:r>
      <w:r w:rsidR="0030323A" w:rsidRPr="001B1C7A">
        <w:rPr>
          <w:rFonts w:ascii="Garamond" w:hAnsi="Garamond"/>
          <w:color w:val="000000" w:themeColor="text1"/>
        </w:rPr>
        <w:t xml:space="preserve"> to privately push for an open-door policy towards the Middle East.</w:t>
      </w:r>
      <w:r w:rsidR="0030323A" w:rsidRPr="001B1C7A">
        <w:rPr>
          <w:rStyle w:val="FootnoteReference"/>
          <w:rFonts w:ascii="Garamond" w:hAnsi="Garamond"/>
          <w:color w:val="000000" w:themeColor="text1"/>
        </w:rPr>
        <w:footnoteReference w:id="134"/>
      </w:r>
      <w:r w:rsidR="0030323A" w:rsidRPr="001B1C7A">
        <w:rPr>
          <w:rFonts w:ascii="Garamond" w:hAnsi="Garamond"/>
          <w:color w:val="000000" w:themeColor="text1"/>
        </w:rPr>
        <w:t xml:space="preserve"> SOCONY </w:t>
      </w:r>
      <w:r w:rsidR="00757FEA">
        <w:rPr>
          <w:rFonts w:ascii="Garamond" w:hAnsi="Garamond"/>
          <w:color w:val="000000" w:themeColor="text1"/>
        </w:rPr>
        <w:t xml:space="preserve">soliciting </w:t>
      </w:r>
      <w:r w:rsidR="0030323A" w:rsidRPr="001B1C7A">
        <w:rPr>
          <w:rFonts w:ascii="Garamond" w:hAnsi="Garamond"/>
          <w:color w:val="000000" w:themeColor="text1"/>
        </w:rPr>
        <w:t>the commissioners before they arrive</w:t>
      </w:r>
      <w:r w:rsidR="00757FEA">
        <w:rPr>
          <w:rFonts w:ascii="Garamond" w:hAnsi="Garamond"/>
          <w:color w:val="000000" w:themeColor="text1"/>
        </w:rPr>
        <w:t xml:space="preserve">d </w:t>
      </w:r>
      <w:r w:rsidR="0030323A" w:rsidRPr="001B1C7A">
        <w:rPr>
          <w:rFonts w:ascii="Garamond" w:hAnsi="Garamond"/>
          <w:color w:val="000000" w:themeColor="text1"/>
        </w:rPr>
        <w:t>in Jaffa shows th</w:t>
      </w:r>
      <w:r w:rsidR="00757FEA">
        <w:rPr>
          <w:rFonts w:ascii="Garamond" w:hAnsi="Garamond"/>
          <w:color w:val="000000" w:themeColor="text1"/>
        </w:rPr>
        <w:t xml:space="preserve">at the oil companies assigned a </w:t>
      </w:r>
      <w:r w:rsidR="0030323A" w:rsidRPr="001B1C7A">
        <w:rPr>
          <w:rFonts w:ascii="Garamond" w:hAnsi="Garamond"/>
          <w:color w:val="000000" w:themeColor="text1"/>
        </w:rPr>
        <w:t xml:space="preserve">significance </w:t>
      </w:r>
      <w:r w:rsidR="00757FEA">
        <w:rPr>
          <w:rFonts w:ascii="Garamond" w:hAnsi="Garamond"/>
          <w:color w:val="000000" w:themeColor="text1"/>
        </w:rPr>
        <w:t>to the</w:t>
      </w:r>
      <w:r w:rsidR="0030323A" w:rsidRPr="001B1C7A">
        <w:rPr>
          <w:rFonts w:ascii="Garamond" w:hAnsi="Garamond"/>
          <w:color w:val="000000" w:themeColor="text1"/>
        </w:rPr>
        <w:t xml:space="preserve"> </w:t>
      </w:r>
      <w:r w:rsidR="00C6532D">
        <w:rPr>
          <w:rFonts w:ascii="Garamond" w:hAnsi="Garamond"/>
          <w:color w:val="000000" w:themeColor="text1"/>
        </w:rPr>
        <w:t>K.C.C.</w:t>
      </w:r>
      <w:r w:rsidR="0030323A" w:rsidRPr="001B1C7A">
        <w:rPr>
          <w:rFonts w:ascii="Garamond" w:hAnsi="Garamond"/>
          <w:color w:val="000000" w:themeColor="text1"/>
        </w:rPr>
        <w:t xml:space="preserve"> in advancing the </w:t>
      </w:r>
      <w:r w:rsidR="00C6532D">
        <w:rPr>
          <w:rFonts w:ascii="Garamond" w:hAnsi="Garamond"/>
          <w:color w:val="000000" w:themeColor="text1"/>
        </w:rPr>
        <w:t>Open Door</w:t>
      </w:r>
      <w:r w:rsidR="00163340">
        <w:rPr>
          <w:rFonts w:ascii="Garamond" w:hAnsi="Garamond"/>
          <w:color w:val="000000" w:themeColor="text1"/>
        </w:rPr>
        <w:t xml:space="preserve"> and breaking up the European monopoly.</w:t>
      </w:r>
      <w:r w:rsidR="00757FEA">
        <w:rPr>
          <w:rFonts w:ascii="Garamond" w:hAnsi="Garamond"/>
          <w:color w:val="000000" w:themeColor="text1"/>
        </w:rPr>
        <w:t xml:space="preserve"> </w:t>
      </w:r>
      <w:r w:rsidR="0030323A" w:rsidRPr="001B1C7A">
        <w:rPr>
          <w:rFonts w:ascii="Garamond" w:hAnsi="Garamond"/>
          <w:color w:val="000000" w:themeColor="text1"/>
        </w:rPr>
        <w:t xml:space="preserve">SOCONY was lobbying the </w:t>
      </w:r>
      <w:r w:rsidR="00C6532D">
        <w:rPr>
          <w:rFonts w:ascii="Garamond" w:hAnsi="Garamond"/>
          <w:color w:val="000000" w:themeColor="text1"/>
        </w:rPr>
        <w:t>K.C.C.</w:t>
      </w:r>
      <w:r w:rsidR="0030323A" w:rsidRPr="001B1C7A">
        <w:rPr>
          <w:rFonts w:ascii="Garamond" w:hAnsi="Garamond"/>
          <w:color w:val="000000" w:themeColor="text1"/>
        </w:rPr>
        <w:t>, hosting the Commissioners, transporting them and facilitating meetings between the Commissioners and upper echelon Standard Oil executives. Gunkel, moreover, impart</w:t>
      </w:r>
      <w:r w:rsidR="00BF79CD">
        <w:rPr>
          <w:rFonts w:ascii="Garamond" w:hAnsi="Garamond"/>
          <w:color w:val="000000" w:themeColor="text1"/>
        </w:rPr>
        <w:t>ed</w:t>
      </w:r>
      <w:r w:rsidR="0030323A" w:rsidRPr="001B1C7A">
        <w:rPr>
          <w:rFonts w:ascii="Garamond" w:hAnsi="Garamond"/>
          <w:color w:val="000000" w:themeColor="text1"/>
        </w:rPr>
        <w:t xml:space="preserve"> upon Lybyer that SOCONY </w:t>
      </w:r>
      <w:r w:rsidR="003B43EF">
        <w:rPr>
          <w:rFonts w:ascii="Garamond" w:hAnsi="Garamond"/>
          <w:color w:val="000000" w:themeColor="text1"/>
        </w:rPr>
        <w:t>was</w:t>
      </w:r>
      <w:r w:rsidR="0030323A" w:rsidRPr="001B1C7A">
        <w:rPr>
          <w:rFonts w:ascii="Garamond" w:hAnsi="Garamond"/>
          <w:color w:val="000000" w:themeColor="text1"/>
        </w:rPr>
        <w:t xml:space="preserve"> </w:t>
      </w:r>
      <w:r w:rsidR="00757FEA">
        <w:rPr>
          <w:rFonts w:ascii="Garamond" w:hAnsi="Garamond"/>
          <w:color w:val="000000" w:themeColor="text1"/>
        </w:rPr>
        <w:t>anxious to explore for oil in areas from which the Europeans had interdicted SOCONY</w:t>
      </w:r>
      <w:r w:rsidR="0030323A" w:rsidRPr="001B1C7A">
        <w:rPr>
          <w:rFonts w:ascii="Garamond" w:hAnsi="Garamond"/>
          <w:color w:val="000000" w:themeColor="text1"/>
        </w:rPr>
        <w:t>.</w:t>
      </w:r>
      <w:r w:rsidR="0030323A" w:rsidRPr="001B1C7A">
        <w:rPr>
          <w:rStyle w:val="FootnoteReference"/>
          <w:rFonts w:ascii="Garamond" w:hAnsi="Garamond"/>
          <w:color w:val="000000" w:themeColor="text1"/>
        </w:rPr>
        <w:footnoteReference w:id="135"/>
      </w:r>
      <w:r w:rsidR="0030323A" w:rsidRPr="001B1C7A">
        <w:rPr>
          <w:rFonts w:ascii="Garamond" w:hAnsi="Garamond"/>
          <w:color w:val="000000" w:themeColor="text1"/>
        </w:rPr>
        <w:t xml:space="preserve"> Before the </w:t>
      </w:r>
      <w:r w:rsidR="00C6532D">
        <w:rPr>
          <w:rFonts w:ascii="Garamond" w:hAnsi="Garamond"/>
          <w:color w:val="000000" w:themeColor="text1"/>
        </w:rPr>
        <w:t>K.C.C.</w:t>
      </w:r>
      <w:r w:rsidR="0030323A" w:rsidRPr="001B1C7A">
        <w:rPr>
          <w:rFonts w:ascii="Garamond" w:hAnsi="Garamond"/>
          <w:color w:val="000000" w:themeColor="text1"/>
        </w:rPr>
        <w:t xml:space="preserve"> land</w:t>
      </w:r>
      <w:r w:rsidR="00BF79CD">
        <w:rPr>
          <w:rFonts w:ascii="Garamond" w:hAnsi="Garamond"/>
          <w:color w:val="000000" w:themeColor="text1"/>
        </w:rPr>
        <w:t>ed</w:t>
      </w:r>
      <w:r w:rsidR="0030323A" w:rsidRPr="001B1C7A">
        <w:rPr>
          <w:rFonts w:ascii="Garamond" w:hAnsi="Garamond"/>
          <w:color w:val="000000" w:themeColor="text1"/>
        </w:rPr>
        <w:t xml:space="preserve"> in the Levant, multiple Commissioners had met with actors in Middle Eastern oil politics</w:t>
      </w:r>
      <w:r w:rsidR="00163340">
        <w:rPr>
          <w:rFonts w:ascii="Garamond" w:hAnsi="Garamond"/>
          <w:color w:val="000000" w:themeColor="text1"/>
        </w:rPr>
        <w:t>, like</w:t>
      </w:r>
      <w:r w:rsidR="0030323A" w:rsidRPr="001B1C7A">
        <w:rPr>
          <w:rFonts w:ascii="Garamond" w:hAnsi="Garamond"/>
          <w:color w:val="000000" w:themeColor="text1"/>
        </w:rPr>
        <w:t xml:space="preserve"> Picot and Thomas; Yale had also appraised the entire </w:t>
      </w:r>
      <w:r w:rsidR="00C6532D">
        <w:rPr>
          <w:rFonts w:ascii="Garamond" w:hAnsi="Garamond"/>
          <w:color w:val="000000" w:themeColor="text1"/>
        </w:rPr>
        <w:t>K.C.C.</w:t>
      </w:r>
      <w:r w:rsidR="0030323A" w:rsidRPr="001B1C7A">
        <w:rPr>
          <w:rFonts w:ascii="Garamond" w:hAnsi="Garamond"/>
          <w:color w:val="000000" w:themeColor="text1"/>
        </w:rPr>
        <w:t xml:space="preserve"> of oil currents of the time, making them aware of SOCONY’s interest of </w:t>
      </w:r>
      <w:r w:rsidR="003B43EF">
        <w:rPr>
          <w:rFonts w:ascii="Garamond" w:hAnsi="Garamond"/>
          <w:color w:val="000000" w:themeColor="text1"/>
        </w:rPr>
        <w:t>Open – Door</w:t>
      </w:r>
      <w:r w:rsidR="0030323A" w:rsidRPr="001B1C7A">
        <w:rPr>
          <w:rFonts w:ascii="Garamond" w:hAnsi="Garamond"/>
          <w:color w:val="000000" w:themeColor="text1"/>
        </w:rPr>
        <w:t xml:space="preserve"> principles the Middle East.</w:t>
      </w:r>
      <w:r w:rsidR="0030323A" w:rsidRPr="001B1C7A">
        <w:rPr>
          <w:rStyle w:val="FootnoteReference"/>
          <w:rFonts w:ascii="Garamond" w:hAnsi="Garamond"/>
          <w:color w:val="000000" w:themeColor="text1"/>
        </w:rPr>
        <w:footnoteReference w:id="136"/>
      </w:r>
      <w:r w:rsidR="00931899">
        <w:rPr>
          <w:rFonts w:ascii="Garamond" w:hAnsi="Garamond"/>
          <w:color w:val="000000" w:themeColor="text1"/>
        </w:rPr>
        <w:t xml:space="preserve"> SOCONY’s activities in the background of the </w:t>
      </w:r>
      <w:r w:rsidR="00C6532D">
        <w:rPr>
          <w:rFonts w:ascii="Garamond" w:hAnsi="Garamond"/>
          <w:color w:val="000000" w:themeColor="text1"/>
        </w:rPr>
        <w:t>K.C.C.</w:t>
      </w:r>
      <w:r w:rsidR="00931899">
        <w:rPr>
          <w:rFonts w:ascii="Garamond" w:hAnsi="Garamond"/>
          <w:color w:val="000000" w:themeColor="text1"/>
        </w:rPr>
        <w:t xml:space="preserve">, especially its elevation of Yale as an oil resource in the eyes of the American Commission to Negotiate Peace, would </w:t>
      </w:r>
      <w:r w:rsidR="003B43EF">
        <w:rPr>
          <w:rFonts w:ascii="Garamond" w:hAnsi="Garamond"/>
          <w:color w:val="000000" w:themeColor="text1"/>
        </w:rPr>
        <w:t xml:space="preserve">continue for, and outlast, the duration of the </w:t>
      </w:r>
      <w:r w:rsidR="00C6532D">
        <w:rPr>
          <w:rFonts w:ascii="Garamond" w:hAnsi="Garamond"/>
          <w:color w:val="000000" w:themeColor="text1"/>
        </w:rPr>
        <w:t>K.C.C.</w:t>
      </w:r>
      <w:r w:rsidR="003B43EF">
        <w:rPr>
          <w:rFonts w:ascii="Garamond" w:hAnsi="Garamond"/>
          <w:color w:val="000000" w:themeColor="text1"/>
        </w:rPr>
        <w:t>’s mission</w:t>
      </w:r>
      <w:r w:rsidR="001A7E51">
        <w:rPr>
          <w:rFonts w:ascii="Garamond" w:hAnsi="Garamond"/>
          <w:color w:val="000000" w:themeColor="text1"/>
        </w:rPr>
        <w:t xml:space="preserve">, and </w:t>
      </w:r>
      <w:r w:rsidR="00163340">
        <w:rPr>
          <w:rFonts w:ascii="Garamond" w:hAnsi="Garamond"/>
          <w:color w:val="000000" w:themeColor="text1"/>
        </w:rPr>
        <w:t>will</w:t>
      </w:r>
      <w:r w:rsidR="001A7E51">
        <w:rPr>
          <w:rFonts w:ascii="Garamond" w:hAnsi="Garamond"/>
          <w:color w:val="000000" w:themeColor="text1"/>
        </w:rPr>
        <w:t xml:space="preserve"> be further explored. </w:t>
      </w:r>
    </w:p>
    <w:p w14:paraId="2FFFD2E2" w14:textId="77777777" w:rsidR="0030323A" w:rsidRDefault="0030323A" w:rsidP="0030323A">
      <w:pPr>
        <w:pStyle w:val="Heading3"/>
        <w:numPr>
          <w:ilvl w:val="0"/>
          <w:numId w:val="35"/>
        </w:numPr>
        <w:rPr>
          <w:rFonts w:ascii="Garamond" w:hAnsi="Garamond"/>
          <w:color w:val="000000" w:themeColor="text1"/>
        </w:rPr>
      </w:pPr>
      <w:bookmarkStart w:id="46" w:name="_Toc66731797"/>
      <w:r w:rsidRPr="00E92768">
        <w:rPr>
          <w:rFonts w:ascii="Garamond" w:hAnsi="Garamond"/>
          <w:color w:val="000000" w:themeColor="text1"/>
        </w:rPr>
        <w:t>Lybyer, King and “Oil”</w:t>
      </w:r>
      <w:bookmarkEnd w:id="46"/>
    </w:p>
    <w:p w14:paraId="0449EE63" w14:textId="77777777" w:rsidR="0030323A" w:rsidRPr="00E92768" w:rsidRDefault="0030323A" w:rsidP="0030323A"/>
    <w:p w14:paraId="234B0DFB" w14:textId="0B3A1BFD" w:rsidR="0030323A" w:rsidRPr="001B1C7A" w:rsidRDefault="00E8170B" w:rsidP="0030323A">
      <w:pPr>
        <w:spacing w:line="480" w:lineRule="auto"/>
        <w:ind w:firstLine="720"/>
        <w:rPr>
          <w:rFonts w:ascii="Garamond" w:hAnsi="Garamond"/>
          <w:color w:val="000000" w:themeColor="text1"/>
        </w:rPr>
      </w:pPr>
      <w:r>
        <w:rPr>
          <w:rFonts w:ascii="Garamond" w:hAnsi="Garamond"/>
          <w:color w:val="000000" w:themeColor="text1"/>
        </w:rPr>
        <w:t>In late</w:t>
      </w:r>
      <w:r w:rsidR="0030323A" w:rsidRPr="001B1C7A">
        <w:rPr>
          <w:rFonts w:ascii="Garamond" w:hAnsi="Garamond"/>
          <w:color w:val="000000" w:themeColor="text1"/>
        </w:rPr>
        <w:t xml:space="preserve"> June, Lybyer wrote a report which he gave to King on July 1.</w:t>
      </w:r>
      <w:r w:rsidR="0030323A" w:rsidRPr="001B1C7A">
        <w:rPr>
          <w:rStyle w:val="FootnoteReference"/>
          <w:rFonts w:ascii="Garamond" w:hAnsi="Garamond"/>
          <w:color w:val="000000" w:themeColor="text1"/>
        </w:rPr>
        <w:footnoteReference w:id="137"/>
      </w:r>
      <w:r w:rsidR="0030323A" w:rsidRPr="001B1C7A">
        <w:rPr>
          <w:rFonts w:ascii="Garamond" w:hAnsi="Garamond"/>
          <w:color w:val="000000" w:themeColor="text1"/>
        </w:rPr>
        <w:t xml:space="preserve"> Lybyer titled this report “The Apparent Situation in Syria, July 1, 1919,” and </w:t>
      </w:r>
      <w:r w:rsidR="00757FEA">
        <w:rPr>
          <w:rFonts w:ascii="Garamond" w:hAnsi="Garamond"/>
          <w:color w:val="000000" w:themeColor="text1"/>
        </w:rPr>
        <w:t>provide</w:t>
      </w:r>
      <w:r w:rsidR="00163340">
        <w:rPr>
          <w:rFonts w:ascii="Garamond" w:hAnsi="Garamond"/>
          <w:color w:val="000000" w:themeColor="text1"/>
        </w:rPr>
        <w:t>d</w:t>
      </w:r>
      <w:r w:rsidR="0030323A" w:rsidRPr="001B1C7A">
        <w:rPr>
          <w:rFonts w:ascii="Garamond" w:hAnsi="Garamond"/>
          <w:color w:val="000000" w:themeColor="text1"/>
        </w:rPr>
        <w:t xml:space="preserve"> five options for settlement of </w:t>
      </w:r>
      <w:r w:rsidR="0030323A" w:rsidRPr="001B1C7A">
        <w:rPr>
          <w:rFonts w:ascii="Garamond" w:hAnsi="Garamond"/>
          <w:color w:val="000000" w:themeColor="text1"/>
        </w:rPr>
        <w:lastRenderedPageBreak/>
        <w:t>the Levant in chronological order: Complete independence; Unity under an American Mandate; Unity under a British Mandate; Unity under a French Mandate; and Division of the country.</w:t>
      </w:r>
      <w:r w:rsidR="0030323A" w:rsidRPr="001B1C7A">
        <w:rPr>
          <w:rStyle w:val="FootnoteReference"/>
          <w:rFonts w:ascii="Garamond" w:hAnsi="Garamond"/>
          <w:color w:val="000000" w:themeColor="text1"/>
        </w:rPr>
        <w:footnoteReference w:id="138"/>
      </w:r>
      <w:r w:rsidR="0030323A" w:rsidRPr="001B1C7A">
        <w:rPr>
          <w:rFonts w:ascii="Garamond" w:hAnsi="Garamond"/>
          <w:color w:val="000000" w:themeColor="text1"/>
        </w:rPr>
        <w:t xml:space="preserve"> Lybyer’s analysis trends with </w:t>
      </w:r>
      <w:r w:rsidR="0003268B">
        <w:rPr>
          <w:rFonts w:ascii="Garamond" w:hAnsi="Garamond"/>
          <w:color w:val="000000" w:themeColor="text1"/>
        </w:rPr>
        <w:t>K.C.C.</w:t>
      </w:r>
      <w:r w:rsidR="0003268B" w:rsidRPr="001B1C7A">
        <w:rPr>
          <w:rFonts w:ascii="Garamond" w:hAnsi="Garamond"/>
          <w:color w:val="000000" w:themeColor="text1"/>
        </w:rPr>
        <w:t xml:space="preserve"> </w:t>
      </w:r>
      <w:r w:rsidR="0030323A" w:rsidRPr="001B1C7A">
        <w:rPr>
          <w:rFonts w:ascii="Garamond" w:hAnsi="Garamond"/>
          <w:color w:val="000000" w:themeColor="text1"/>
        </w:rPr>
        <w:t xml:space="preserve">thinking at the time, that solutions two and three were optimal, and anything involving independence, or a French mandate, would </w:t>
      </w:r>
      <w:r w:rsidR="0003268B">
        <w:rPr>
          <w:rFonts w:ascii="Garamond" w:hAnsi="Garamond"/>
          <w:color w:val="000000" w:themeColor="text1"/>
        </w:rPr>
        <w:t>be disastrous for</w:t>
      </w:r>
      <w:r w:rsidR="0030323A" w:rsidRPr="001B1C7A">
        <w:rPr>
          <w:rFonts w:ascii="Garamond" w:hAnsi="Garamond"/>
          <w:color w:val="000000" w:themeColor="text1"/>
        </w:rPr>
        <w:t xml:space="preserve"> Syria.</w:t>
      </w:r>
      <w:r w:rsidR="0030323A" w:rsidRPr="001B1C7A">
        <w:rPr>
          <w:rStyle w:val="FootnoteReference"/>
          <w:rFonts w:ascii="Garamond" w:hAnsi="Garamond"/>
          <w:color w:val="000000" w:themeColor="text1"/>
        </w:rPr>
        <w:footnoteReference w:id="139"/>
      </w:r>
    </w:p>
    <w:p w14:paraId="4AAE208B" w14:textId="47CCB3CB" w:rsidR="0030323A" w:rsidRPr="00E92768" w:rsidRDefault="0030323A" w:rsidP="00680558">
      <w:pPr>
        <w:spacing w:line="480" w:lineRule="auto"/>
      </w:pPr>
      <w:r w:rsidRPr="001B1C7A">
        <w:rPr>
          <w:rFonts w:ascii="Garamond" w:hAnsi="Garamond"/>
          <w:color w:val="000000" w:themeColor="text1"/>
        </w:rPr>
        <w:t>At the bottom, King scrawled some annotations. Next to number two, presumably section two, he writes “2. {indiscernible} &amp; Long PW – Oil.”</w:t>
      </w:r>
      <w:r w:rsidRPr="001B1C7A">
        <w:rPr>
          <w:rStyle w:val="FootnoteReference"/>
          <w:rFonts w:ascii="Garamond" w:hAnsi="Garamond"/>
          <w:color w:val="000000" w:themeColor="text1"/>
        </w:rPr>
        <w:footnoteReference w:id="140"/>
      </w:r>
      <w:r w:rsidRPr="001B1C7A">
        <w:rPr>
          <w:rFonts w:ascii="Garamond" w:hAnsi="Garamond"/>
          <w:color w:val="000000" w:themeColor="text1"/>
        </w:rPr>
        <w:t xml:space="preserve"> This is the first indication that King was factoring in oil when considering a potential American Mandate over Palestine. </w:t>
      </w:r>
      <w:r w:rsidR="00E57197">
        <w:rPr>
          <w:rFonts w:ascii="Garamond" w:hAnsi="Garamond"/>
          <w:color w:val="000000" w:themeColor="text1"/>
        </w:rPr>
        <w:t>Alt</w:t>
      </w:r>
      <w:r w:rsidRPr="001B1C7A">
        <w:rPr>
          <w:rFonts w:ascii="Garamond" w:hAnsi="Garamond"/>
          <w:color w:val="000000" w:themeColor="text1"/>
        </w:rPr>
        <w:t>hough the text before “Long” is indiscernible, it is undoubtedly a name.</w:t>
      </w:r>
      <w:r w:rsidRPr="001B1C7A">
        <w:rPr>
          <w:rStyle w:val="FootnoteReference"/>
          <w:rFonts w:ascii="Garamond" w:hAnsi="Garamond"/>
          <w:color w:val="000000" w:themeColor="text1"/>
        </w:rPr>
        <w:footnoteReference w:id="141"/>
      </w:r>
      <w:r w:rsidRPr="001B1C7A">
        <w:rPr>
          <w:rFonts w:ascii="Garamond" w:hAnsi="Garamond"/>
          <w:color w:val="000000" w:themeColor="text1"/>
        </w:rPr>
        <w:t xml:space="preserve"> Recalling that Walter Long was the British Minister for Fuel, King could have been alluding to the Long – Bérenger Agreement. By July 1, King, as one of the most significant members of the commission, was considering oil when analyzing proposals for future Mandates. This does not mean that the </w:t>
      </w:r>
      <w:r w:rsidR="00EE60B5">
        <w:rPr>
          <w:rFonts w:ascii="Garamond" w:hAnsi="Garamond"/>
          <w:color w:val="000000" w:themeColor="text1"/>
        </w:rPr>
        <w:t>secret</w:t>
      </w:r>
      <w:r w:rsidR="00EE60B5" w:rsidRPr="001B1C7A">
        <w:rPr>
          <w:rFonts w:ascii="Garamond" w:hAnsi="Garamond"/>
          <w:color w:val="000000" w:themeColor="text1"/>
        </w:rPr>
        <w:t xml:space="preserve"> </w:t>
      </w:r>
      <w:r w:rsidRPr="001B1C7A">
        <w:rPr>
          <w:rFonts w:ascii="Garamond" w:hAnsi="Garamond"/>
          <w:color w:val="000000" w:themeColor="text1"/>
        </w:rPr>
        <w:t xml:space="preserve">purpose of the </w:t>
      </w:r>
      <w:r w:rsidR="00C6532D">
        <w:rPr>
          <w:rFonts w:ascii="Garamond" w:hAnsi="Garamond"/>
          <w:color w:val="000000" w:themeColor="text1"/>
        </w:rPr>
        <w:t>K.C.C.</w:t>
      </w:r>
      <w:r w:rsidRPr="001B1C7A">
        <w:rPr>
          <w:rFonts w:ascii="Garamond" w:hAnsi="Garamond"/>
          <w:color w:val="000000" w:themeColor="text1"/>
        </w:rPr>
        <w:t xml:space="preserve"> was to further U.S. oil interests in the Middle East; it</w:t>
      </w:r>
      <w:r w:rsidR="008A7B99">
        <w:rPr>
          <w:rFonts w:ascii="Garamond" w:hAnsi="Garamond"/>
          <w:color w:val="000000" w:themeColor="text1"/>
        </w:rPr>
        <w:t xml:space="preserve"> implies that </w:t>
      </w:r>
      <w:r w:rsidRPr="001B1C7A">
        <w:rPr>
          <w:rFonts w:ascii="Garamond" w:hAnsi="Garamond"/>
          <w:color w:val="000000" w:themeColor="text1"/>
        </w:rPr>
        <w:t xml:space="preserve">Yale’s efforts were </w:t>
      </w:r>
      <w:r w:rsidR="00E97087">
        <w:rPr>
          <w:rFonts w:ascii="Garamond" w:hAnsi="Garamond"/>
          <w:color w:val="000000" w:themeColor="text1"/>
        </w:rPr>
        <w:t>affecting</w:t>
      </w:r>
      <w:r w:rsidRPr="001B1C7A">
        <w:rPr>
          <w:rFonts w:ascii="Garamond" w:hAnsi="Garamond"/>
          <w:color w:val="000000" w:themeColor="text1"/>
        </w:rPr>
        <w:t xml:space="preserve"> considerations </w:t>
      </w:r>
      <w:r w:rsidR="00163340">
        <w:rPr>
          <w:rFonts w:ascii="Garamond" w:hAnsi="Garamond"/>
          <w:color w:val="000000" w:themeColor="text1"/>
        </w:rPr>
        <w:t>about</w:t>
      </w:r>
      <w:r w:rsidR="00EE60B5">
        <w:rPr>
          <w:rFonts w:ascii="Garamond" w:hAnsi="Garamond"/>
          <w:color w:val="000000" w:themeColor="text1"/>
        </w:rPr>
        <w:t xml:space="preserve"> oil. </w:t>
      </w:r>
    </w:p>
    <w:p w14:paraId="059275A7" w14:textId="77777777" w:rsidR="0030323A" w:rsidRDefault="0030323A" w:rsidP="0030323A">
      <w:pPr>
        <w:pStyle w:val="Heading3"/>
        <w:numPr>
          <w:ilvl w:val="0"/>
          <w:numId w:val="35"/>
        </w:numPr>
        <w:rPr>
          <w:rFonts w:ascii="Garamond" w:hAnsi="Garamond"/>
          <w:color w:val="000000" w:themeColor="text1"/>
        </w:rPr>
      </w:pPr>
      <w:bookmarkStart w:id="47" w:name="_Toc66731798"/>
      <w:bookmarkStart w:id="48" w:name="_Toc66731799"/>
      <w:bookmarkEnd w:id="47"/>
      <w:r w:rsidRPr="00062E75">
        <w:rPr>
          <w:rFonts w:ascii="Garamond" w:hAnsi="Garamond"/>
          <w:color w:val="000000" w:themeColor="text1"/>
        </w:rPr>
        <w:t>Crane’s Letter to Wilson</w:t>
      </w:r>
      <w:bookmarkEnd w:id="48"/>
      <w:r w:rsidRPr="00062E75">
        <w:rPr>
          <w:rFonts w:ascii="Garamond" w:hAnsi="Garamond"/>
          <w:color w:val="000000" w:themeColor="text1"/>
        </w:rPr>
        <w:t xml:space="preserve"> </w:t>
      </w:r>
    </w:p>
    <w:p w14:paraId="5EB83778" w14:textId="77777777" w:rsidR="0030323A" w:rsidRPr="00062E75" w:rsidRDefault="0030323A" w:rsidP="0030323A"/>
    <w:p w14:paraId="5C34F273" w14:textId="101D2965" w:rsidR="0030323A" w:rsidRPr="001B1C7A" w:rsidRDefault="00870E77" w:rsidP="0030323A">
      <w:pPr>
        <w:spacing w:line="480" w:lineRule="auto"/>
        <w:ind w:firstLine="720"/>
        <w:rPr>
          <w:rFonts w:ascii="Garamond" w:hAnsi="Garamond"/>
          <w:color w:val="000000" w:themeColor="text1"/>
        </w:rPr>
      </w:pPr>
      <w:r>
        <w:rPr>
          <w:rFonts w:ascii="Garamond" w:hAnsi="Garamond"/>
          <w:color w:val="000000" w:themeColor="text1"/>
        </w:rPr>
        <w:t xml:space="preserve">Crane’s background with the oil industry could give the impression that Crane was interested in oil during the </w:t>
      </w:r>
      <w:r w:rsidR="00C6532D">
        <w:rPr>
          <w:rFonts w:ascii="Garamond" w:hAnsi="Garamond"/>
          <w:color w:val="000000" w:themeColor="text1"/>
        </w:rPr>
        <w:t>K.C.C.</w:t>
      </w:r>
      <w:r>
        <w:rPr>
          <w:rFonts w:ascii="Garamond" w:hAnsi="Garamond"/>
          <w:color w:val="000000" w:themeColor="text1"/>
        </w:rPr>
        <w:t xml:space="preserve">’s mission; this is not the case. </w:t>
      </w:r>
      <w:r w:rsidR="0030323A" w:rsidRPr="001B1C7A">
        <w:rPr>
          <w:rFonts w:ascii="Garamond" w:hAnsi="Garamond"/>
          <w:color w:val="000000" w:themeColor="text1"/>
        </w:rPr>
        <w:t xml:space="preserve">On July 10, 1919, Crane wrote a letter to President Wilson with a preliminary copy of the </w:t>
      </w:r>
      <w:r w:rsidR="00C6532D">
        <w:rPr>
          <w:rFonts w:ascii="Garamond" w:hAnsi="Garamond"/>
          <w:color w:val="000000" w:themeColor="text1"/>
        </w:rPr>
        <w:t>K.C.C.</w:t>
      </w:r>
      <w:r w:rsidR="0030323A" w:rsidRPr="001B1C7A">
        <w:rPr>
          <w:rFonts w:ascii="Garamond" w:hAnsi="Garamond"/>
          <w:color w:val="000000" w:themeColor="text1"/>
        </w:rPr>
        <w:t xml:space="preserve"> report. In the introductory sentences, Crane says “We feel that our mission has been very worthwhile and that there is raw material here for a much more promising state than we had in the Philippines.” Crane does not allude specifically to oil, but he is discussing “raw materials”, which usually connotes oil in a Middle Eastern context. Crane, however, </w:t>
      </w:r>
      <w:r w:rsidR="00717B62">
        <w:rPr>
          <w:rFonts w:ascii="Garamond" w:hAnsi="Garamond"/>
          <w:color w:val="000000" w:themeColor="text1"/>
        </w:rPr>
        <w:t>was</w:t>
      </w:r>
      <w:r w:rsidR="00717B62" w:rsidRPr="001B1C7A">
        <w:rPr>
          <w:rFonts w:ascii="Garamond" w:hAnsi="Garamond"/>
          <w:color w:val="000000" w:themeColor="text1"/>
        </w:rPr>
        <w:t xml:space="preserve"> </w:t>
      </w:r>
      <w:r w:rsidR="0030323A" w:rsidRPr="001B1C7A">
        <w:rPr>
          <w:rFonts w:ascii="Garamond" w:hAnsi="Garamond"/>
          <w:color w:val="000000" w:themeColor="text1"/>
        </w:rPr>
        <w:t>also discussing the Levant in comparison to the Philippines, which qualifies his statement about “natural resources</w:t>
      </w:r>
      <w:r w:rsidR="00730E9E">
        <w:rPr>
          <w:rFonts w:ascii="Garamond" w:hAnsi="Garamond"/>
          <w:color w:val="000000" w:themeColor="text1"/>
        </w:rPr>
        <w:t>.</w:t>
      </w:r>
      <w:r w:rsidR="0030323A" w:rsidRPr="001B1C7A">
        <w:rPr>
          <w:rFonts w:ascii="Garamond" w:hAnsi="Garamond"/>
          <w:color w:val="000000" w:themeColor="text1"/>
        </w:rPr>
        <w:t xml:space="preserve">” </w:t>
      </w:r>
      <w:r w:rsidR="00717B62">
        <w:rPr>
          <w:rFonts w:ascii="Garamond" w:hAnsi="Garamond"/>
          <w:color w:val="000000" w:themeColor="text1"/>
        </w:rPr>
        <w:t>Alt</w:t>
      </w:r>
      <w:r w:rsidR="0030323A" w:rsidRPr="001B1C7A">
        <w:rPr>
          <w:rFonts w:ascii="Garamond" w:hAnsi="Garamond"/>
          <w:color w:val="000000" w:themeColor="text1"/>
        </w:rPr>
        <w:t xml:space="preserve">hough Crane did have extensive experience with the oil industry, his memoirs give the impression that he truly wanted to bring about a Levant that reflected </w:t>
      </w:r>
      <w:r w:rsidR="0030323A" w:rsidRPr="001B1C7A">
        <w:rPr>
          <w:rFonts w:ascii="Garamond" w:hAnsi="Garamond"/>
          <w:color w:val="000000" w:themeColor="text1"/>
        </w:rPr>
        <w:lastRenderedPageBreak/>
        <w:t>the wishes of its people.</w:t>
      </w:r>
      <w:r w:rsidR="00730E9E">
        <w:rPr>
          <w:rStyle w:val="FootnoteReference"/>
          <w:rFonts w:ascii="Garamond" w:hAnsi="Garamond"/>
          <w:color w:val="000000" w:themeColor="text1"/>
        </w:rPr>
        <w:footnoteReference w:id="142"/>
      </w:r>
      <w:r w:rsidR="0030323A" w:rsidRPr="001B1C7A">
        <w:rPr>
          <w:rFonts w:ascii="Garamond" w:hAnsi="Garamond"/>
          <w:color w:val="000000" w:themeColor="text1"/>
        </w:rPr>
        <w:t xml:space="preserve"> In a chilling indictment of the </w:t>
      </w:r>
      <w:r w:rsidR="00C6532D">
        <w:rPr>
          <w:rFonts w:ascii="Garamond" w:hAnsi="Garamond"/>
          <w:color w:val="000000" w:themeColor="text1"/>
        </w:rPr>
        <w:t>K.C.C.</w:t>
      </w:r>
      <w:r w:rsidR="0030323A" w:rsidRPr="001B1C7A">
        <w:rPr>
          <w:rFonts w:ascii="Garamond" w:hAnsi="Garamond"/>
          <w:color w:val="000000" w:themeColor="text1"/>
        </w:rPr>
        <w:t xml:space="preserve"> in his memoirs, Crane writes, “While the American members of the Mandate Commission were doing their utmost to bring out a free and full expression of Syrian hopes and fears, everything was being done at Paris to nullify their work … the countries involved had already been sold to the highest bidders.”</w:t>
      </w:r>
      <w:r w:rsidR="0030323A" w:rsidRPr="001B1C7A">
        <w:rPr>
          <w:rStyle w:val="FootnoteReference"/>
          <w:rFonts w:ascii="Garamond" w:hAnsi="Garamond"/>
          <w:color w:val="000000" w:themeColor="text1"/>
        </w:rPr>
        <w:footnoteReference w:id="143"/>
      </w:r>
      <w:r w:rsidR="0030323A" w:rsidRPr="001B1C7A">
        <w:rPr>
          <w:rFonts w:ascii="Garamond" w:hAnsi="Garamond"/>
          <w:color w:val="000000" w:themeColor="text1"/>
        </w:rPr>
        <w:t xml:space="preserve"> </w:t>
      </w:r>
      <w:r w:rsidR="003022E7">
        <w:rPr>
          <w:rFonts w:ascii="Garamond" w:hAnsi="Garamond"/>
          <w:color w:val="000000" w:themeColor="text1"/>
        </w:rPr>
        <w:t>T</w:t>
      </w:r>
      <w:r w:rsidR="0030323A" w:rsidRPr="001B1C7A">
        <w:rPr>
          <w:rFonts w:ascii="Garamond" w:hAnsi="Garamond"/>
          <w:color w:val="000000" w:themeColor="text1"/>
        </w:rPr>
        <w:t>hough some of Crane’s letters may have mused about the Middle East’s natural resources, it is unlikely that he, as a Commissioner, attempted to expose or rebut European exclusionary economic practices</w:t>
      </w:r>
      <w:r w:rsidR="003022E7">
        <w:rPr>
          <w:rFonts w:ascii="Garamond" w:hAnsi="Garamond"/>
          <w:color w:val="000000" w:themeColor="text1"/>
        </w:rPr>
        <w:t xml:space="preserve">. </w:t>
      </w:r>
    </w:p>
    <w:p w14:paraId="76460947" w14:textId="750E1BB9" w:rsidR="0030323A" w:rsidRDefault="0030323A" w:rsidP="0030323A">
      <w:pPr>
        <w:pStyle w:val="Heading3"/>
        <w:numPr>
          <w:ilvl w:val="0"/>
          <w:numId w:val="35"/>
        </w:numPr>
        <w:rPr>
          <w:rFonts w:ascii="Garamond" w:hAnsi="Garamond"/>
          <w:color w:val="000000" w:themeColor="text1"/>
        </w:rPr>
      </w:pPr>
      <w:bookmarkStart w:id="49" w:name="_Toc66731800"/>
      <w:r w:rsidRPr="00E92768">
        <w:rPr>
          <w:rFonts w:ascii="Garamond" w:hAnsi="Garamond"/>
          <w:color w:val="000000" w:themeColor="text1"/>
        </w:rPr>
        <w:t xml:space="preserve">The Return </w:t>
      </w:r>
      <w:r w:rsidR="00CD37FF">
        <w:rPr>
          <w:rFonts w:ascii="Garamond" w:hAnsi="Garamond"/>
          <w:color w:val="000000" w:themeColor="text1"/>
        </w:rPr>
        <w:t xml:space="preserve">to Paris </w:t>
      </w:r>
      <w:r w:rsidRPr="00E92768">
        <w:rPr>
          <w:rFonts w:ascii="Garamond" w:hAnsi="Garamond"/>
          <w:color w:val="000000" w:themeColor="text1"/>
        </w:rPr>
        <w:t>and Standard Oil</w:t>
      </w:r>
      <w:bookmarkEnd w:id="49"/>
      <w:r w:rsidRPr="00E92768">
        <w:rPr>
          <w:rFonts w:ascii="Garamond" w:hAnsi="Garamond"/>
          <w:color w:val="000000" w:themeColor="text1"/>
        </w:rPr>
        <w:t xml:space="preserve"> </w:t>
      </w:r>
    </w:p>
    <w:p w14:paraId="77DEF162" w14:textId="77777777" w:rsidR="0030323A" w:rsidRPr="00E92768" w:rsidRDefault="0030323A" w:rsidP="0030323A"/>
    <w:p w14:paraId="3EDF41E6" w14:textId="09AB7569"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The most ostentatious attempt by SOCONY to influence the </w:t>
      </w:r>
      <w:r w:rsidR="00C6532D">
        <w:rPr>
          <w:rFonts w:ascii="Garamond" w:hAnsi="Garamond"/>
          <w:color w:val="000000" w:themeColor="text1"/>
        </w:rPr>
        <w:t>K.C.C.</w:t>
      </w:r>
      <w:r w:rsidRPr="001B1C7A">
        <w:rPr>
          <w:rFonts w:ascii="Garamond" w:hAnsi="Garamond"/>
          <w:color w:val="000000" w:themeColor="text1"/>
        </w:rPr>
        <w:t xml:space="preserve"> report occurred when the </w:t>
      </w:r>
      <w:r w:rsidR="00C6532D">
        <w:rPr>
          <w:rFonts w:ascii="Garamond" w:hAnsi="Garamond"/>
          <w:color w:val="000000" w:themeColor="text1"/>
        </w:rPr>
        <w:t>K.C.C.</w:t>
      </w:r>
      <w:r w:rsidRPr="001B1C7A">
        <w:rPr>
          <w:rFonts w:ascii="Garamond" w:hAnsi="Garamond"/>
          <w:color w:val="000000" w:themeColor="text1"/>
        </w:rPr>
        <w:t xml:space="preserve"> </w:t>
      </w:r>
      <w:r w:rsidR="008B43CB">
        <w:rPr>
          <w:rFonts w:ascii="Garamond" w:hAnsi="Garamond"/>
          <w:color w:val="000000" w:themeColor="text1"/>
        </w:rPr>
        <w:t>was</w:t>
      </w:r>
      <w:r w:rsidR="008B43CB" w:rsidRPr="001B1C7A">
        <w:rPr>
          <w:rFonts w:ascii="Garamond" w:hAnsi="Garamond"/>
          <w:color w:val="000000" w:themeColor="text1"/>
        </w:rPr>
        <w:t xml:space="preserve"> </w:t>
      </w:r>
      <w:r w:rsidRPr="001B1C7A">
        <w:rPr>
          <w:rFonts w:ascii="Garamond" w:hAnsi="Garamond"/>
          <w:color w:val="000000" w:themeColor="text1"/>
        </w:rPr>
        <w:t xml:space="preserve">leaving the Levant. On August 21, the </w:t>
      </w:r>
      <w:r w:rsidR="00C6532D">
        <w:rPr>
          <w:rFonts w:ascii="Garamond" w:hAnsi="Garamond"/>
          <w:color w:val="000000" w:themeColor="text1"/>
        </w:rPr>
        <w:t>K.C.C.</w:t>
      </w:r>
      <w:r w:rsidRPr="001B1C7A">
        <w:rPr>
          <w:rFonts w:ascii="Garamond" w:hAnsi="Garamond"/>
          <w:color w:val="000000" w:themeColor="text1"/>
        </w:rPr>
        <w:t xml:space="preserve"> boarded the </w:t>
      </w:r>
      <w:r w:rsidR="00A62136">
        <w:rPr>
          <w:rFonts w:ascii="Garamond" w:hAnsi="Garamond"/>
          <w:color w:val="000000" w:themeColor="text1"/>
        </w:rPr>
        <w:t xml:space="preserve">French </w:t>
      </w:r>
      <w:r w:rsidRPr="001B1C7A">
        <w:rPr>
          <w:rFonts w:ascii="Garamond" w:hAnsi="Garamond"/>
          <w:color w:val="000000" w:themeColor="text1"/>
        </w:rPr>
        <w:t xml:space="preserve">destroyer </w:t>
      </w:r>
      <w:r w:rsidRPr="00680558">
        <w:rPr>
          <w:rFonts w:ascii="Garamond" w:hAnsi="Garamond"/>
          <w:i/>
          <w:iCs/>
          <w:color w:val="000000" w:themeColor="text1"/>
        </w:rPr>
        <w:t>Dupont</w:t>
      </w:r>
      <w:r w:rsidRPr="001B1C7A">
        <w:rPr>
          <w:rFonts w:ascii="Garamond" w:hAnsi="Garamond"/>
          <w:color w:val="000000" w:themeColor="text1"/>
        </w:rPr>
        <w:t xml:space="preserve"> to sail through the Dardanelles.</w:t>
      </w:r>
      <w:r w:rsidRPr="001B1C7A">
        <w:rPr>
          <w:rStyle w:val="FootnoteReference"/>
          <w:rFonts w:ascii="Garamond" w:hAnsi="Garamond"/>
          <w:color w:val="000000" w:themeColor="text1"/>
        </w:rPr>
        <w:footnoteReference w:id="144"/>
      </w:r>
      <w:r w:rsidRPr="001B1C7A">
        <w:rPr>
          <w:rFonts w:ascii="Garamond" w:hAnsi="Garamond"/>
          <w:color w:val="000000" w:themeColor="text1"/>
        </w:rPr>
        <w:t xml:space="preserve"> Lybyer writes in his August 21 journal entry “On board, Mr. Thomas of Standard Oil Co., and Miss Obratstoff, niece of Sen Deniken.”</w:t>
      </w:r>
      <w:r w:rsidRPr="001B1C7A">
        <w:rPr>
          <w:rStyle w:val="FootnoteReference"/>
          <w:rFonts w:ascii="Garamond" w:hAnsi="Garamond"/>
          <w:color w:val="000000" w:themeColor="text1"/>
        </w:rPr>
        <w:footnoteReference w:id="145"/>
      </w:r>
      <w:r w:rsidRPr="001B1C7A">
        <w:rPr>
          <w:rFonts w:ascii="Garamond" w:hAnsi="Garamond"/>
          <w:color w:val="000000" w:themeColor="text1"/>
        </w:rPr>
        <w:t xml:space="preserve"> For the next six days, </w:t>
      </w:r>
      <w:r w:rsidR="00A62136">
        <w:rPr>
          <w:rFonts w:ascii="Garamond" w:hAnsi="Garamond"/>
          <w:color w:val="000000" w:themeColor="text1"/>
        </w:rPr>
        <w:t>Thomas</w:t>
      </w:r>
      <w:r w:rsidRPr="001B1C7A">
        <w:rPr>
          <w:rFonts w:ascii="Garamond" w:hAnsi="Garamond"/>
          <w:color w:val="000000" w:themeColor="text1"/>
        </w:rPr>
        <w:t xml:space="preserve"> lived with the </w:t>
      </w:r>
      <w:r w:rsidR="00C6532D">
        <w:rPr>
          <w:rFonts w:ascii="Garamond" w:hAnsi="Garamond"/>
          <w:color w:val="000000" w:themeColor="text1"/>
        </w:rPr>
        <w:t>K.C.C.</w:t>
      </w:r>
      <w:r w:rsidRPr="001B1C7A">
        <w:rPr>
          <w:rFonts w:ascii="Garamond" w:hAnsi="Garamond"/>
          <w:color w:val="000000" w:themeColor="text1"/>
        </w:rPr>
        <w:t xml:space="preserve"> while King put the finishing touches on the </w:t>
      </w:r>
      <w:r w:rsidR="00C6532D">
        <w:rPr>
          <w:rFonts w:ascii="Garamond" w:hAnsi="Garamond"/>
          <w:color w:val="000000" w:themeColor="text1"/>
        </w:rPr>
        <w:t>K.C.C.</w:t>
      </w:r>
      <w:r w:rsidRPr="001B1C7A">
        <w:rPr>
          <w:rFonts w:ascii="Garamond" w:hAnsi="Garamond"/>
          <w:color w:val="000000" w:themeColor="text1"/>
        </w:rPr>
        <w:t xml:space="preserve"> report. Thomas was attempting to charm the </w:t>
      </w:r>
      <w:r w:rsidR="00163340">
        <w:rPr>
          <w:rFonts w:ascii="Garamond" w:hAnsi="Garamond"/>
          <w:color w:val="000000" w:themeColor="text1"/>
        </w:rPr>
        <w:t>C</w:t>
      </w:r>
      <w:r w:rsidRPr="001B1C7A">
        <w:rPr>
          <w:rFonts w:ascii="Garamond" w:hAnsi="Garamond"/>
          <w:color w:val="000000" w:themeColor="text1"/>
        </w:rPr>
        <w:t>ommissioners; on August 23, he “showed some lovely Turkish books given to him” and he also participated in activities at stops along their route.</w:t>
      </w:r>
      <w:r w:rsidRPr="001B1C7A">
        <w:rPr>
          <w:rStyle w:val="FootnoteReference"/>
          <w:rFonts w:ascii="Garamond" w:hAnsi="Garamond"/>
          <w:color w:val="000000" w:themeColor="text1"/>
        </w:rPr>
        <w:footnoteReference w:id="146"/>
      </w:r>
      <w:r w:rsidRPr="001B1C7A">
        <w:rPr>
          <w:rFonts w:ascii="Garamond" w:hAnsi="Garamond"/>
          <w:color w:val="000000" w:themeColor="text1"/>
        </w:rPr>
        <w:t xml:space="preserve"> </w:t>
      </w:r>
    </w:p>
    <w:p w14:paraId="15EFF3CB" w14:textId="21D20EEF"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 Thomas’s decisive attempt to discuss oil came on August 24, in a conversation with Lybyer. Lybyer writes</w:t>
      </w:r>
      <w:r w:rsidR="008B43CB">
        <w:rPr>
          <w:rFonts w:ascii="Garamond" w:hAnsi="Garamond"/>
          <w:color w:val="000000" w:themeColor="text1"/>
        </w:rPr>
        <w:t>:</w:t>
      </w:r>
      <w:r w:rsidRPr="001B1C7A">
        <w:rPr>
          <w:rFonts w:ascii="Garamond" w:hAnsi="Garamond"/>
          <w:color w:val="000000" w:themeColor="text1"/>
        </w:rPr>
        <w:t xml:space="preserve"> “Talked with Mr. Thomas. Said American oil products will pass peak in 2 or three years – furnished 80% of oil of world during war – drew on resources above and below grd.” Thomas, like Yale, underscored the currents at the time: that America bore the brunt of supplying oil during World War I, and </w:t>
      </w:r>
      <w:r w:rsidR="00A333D9">
        <w:rPr>
          <w:rFonts w:ascii="Garamond" w:hAnsi="Garamond"/>
          <w:color w:val="000000" w:themeColor="text1"/>
        </w:rPr>
        <w:t xml:space="preserve">it </w:t>
      </w:r>
      <w:r w:rsidRPr="001B1C7A">
        <w:rPr>
          <w:rFonts w:ascii="Garamond" w:hAnsi="Garamond"/>
          <w:color w:val="000000" w:themeColor="text1"/>
        </w:rPr>
        <w:t xml:space="preserve">would now suffer. </w:t>
      </w:r>
      <w:r w:rsidR="00A4074B">
        <w:rPr>
          <w:rFonts w:ascii="Garamond" w:hAnsi="Garamond"/>
          <w:color w:val="000000" w:themeColor="text1"/>
        </w:rPr>
        <w:t>M</w:t>
      </w:r>
      <w:r w:rsidRPr="001B1C7A">
        <w:rPr>
          <w:rFonts w:ascii="Garamond" w:hAnsi="Garamond"/>
          <w:color w:val="000000" w:themeColor="text1"/>
        </w:rPr>
        <w:t>ost of those attuned to oil politics were thinking this way. Lybyer continues “{Thomas} Fears Brit Do not play game. Long took advantage of censorship. Are trying to secure oil privileges in Mes – opt, Persian deal a raw one.”</w:t>
      </w:r>
      <w:r w:rsidRPr="001B1C7A">
        <w:rPr>
          <w:rStyle w:val="FootnoteReference"/>
          <w:rFonts w:ascii="Garamond" w:hAnsi="Garamond"/>
          <w:color w:val="000000" w:themeColor="text1"/>
        </w:rPr>
        <w:footnoteReference w:id="147"/>
      </w:r>
      <w:r w:rsidRPr="001B1C7A">
        <w:rPr>
          <w:rFonts w:ascii="Garamond" w:hAnsi="Garamond"/>
          <w:color w:val="000000" w:themeColor="text1"/>
        </w:rPr>
        <w:t xml:space="preserve"> Thomas </w:t>
      </w:r>
      <w:r w:rsidRPr="001B1C7A">
        <w:rPr>
          <w:rFonts w:ascii="Garamond" w:hAnsi="Garamond"/>
          <w:color w:val="000000" w:themeColor="text1"/>
        </w:rPr>
        <w:lastRenderedPageBreak/>
        <w:t xml:space="preserve">exemplifies the fears that Yale had expressed in his May memoranda and implies that America should push for an </w:t>
      </w:r>
      <w:r w:rsidR="00C6532D">
        <w:rPr>
          <w:rFonts w:ascii="Garamond" w:hAnsi="Garamond"/>
          <w:color w:val="000000" w:themeColor="text1"/>
        </w:rPr>
        <w:t>Open Door</w:t>
      </w:r>
      <w:r w:rsidRPr="001B1C7A">
        <w:rPr>
          <w:rFonts w:ascii="Garamond" w:hAnsi="Garamond"/>
          <w:color w:val="000000" w:themeColor="text1"/>
        </w:rPr>
        <w:t xml:space="preserve">. </w:t>
      </w:r>
      <w:r w:rsidR="00560B15">
        <w:rPr>
          <w:rFonts w:ascii="Garamond" w:hAnsi="Garamond"/>
          <w:color w:val="000000" w:themeColor="text1"/>
        </w:rPr>
        <w:t xml:space="preserve">The fear of oil shortage was becoming ever more relevant, as expanding </w:t>
      </w:r>
      <w:r w:rsidR="00163340">
        <w:rPr>
          <w:rFonts w:ascii="Garamond" w:hAnsi="Garamond"/>
          <w:color w:val="000000" w:themeColor="text1"/>
        </w:rPr>
        <w:t xml:space="preserve">U.S. </w:t>
      </w:r>
      <w:r w:rsidR="00560B15">
        <w:rPr>
          <w:rFonts w:ascii="Garamond" w:hAnsi="Garamond"/>
          <w:color w:val="000000" w:themeColor="text1"/>
        </w:rPr>
        <w:t xml:space="preserve">interests in the Pacific raised the concern of a conflict with Japan. </w:t>
      </w:r>
      <w:r w:rsidRPr="001B1C7A">
        <w:rPr>
          <w:rFonts w:ascii="Garamond" w:hAnsi="Garamond"/>
          <w:color w:val="000000" w:themeColor="text1"/>
        </w:rPr>
        <w:t xml:space="preserve">Thomas also references </w:t>
      </w:r>
      <w:r w:rsidR="00A333D9">
        <w:rPr>
          <w:rFonts w:ascii="Garamond" w:hAnsi="Garamond"/>
          <w:color w:val="000000" w:themeColor="text1"/>
        </w:rPr>
        <w:t xml:space="preserve">Walter </w:t>
      </w:r>
      <w:r w:rsidRPr="001B1C7A">
        <w:rPr>
          <w:rFonts w:ascii="Garamond" w:hAnsi="Garamond"/>
          <w:color w:val="000000" w:themeColor="text1"/>
        </w:rPr>
        <w:t xml:space="preserve">Long, </w:t>
      </w:r>
      <w:r w:rsidR="00A333D9">
        <w:rPr>
          <w:rFonts w:ascii="Garamond" w:hAnsi="Garamond"/>
          <w:color w:val="000000" w:themeColor="text1"/>
        </w:rPr>
        <w:t xml:space="preserve">British Minister of Petroleum, </w:t>
      </w:r>
      <w:r w:rsidRPr="001B1C7A">
        <w:rPr>
          <w:rFonts w:ascii="Garamond" w:hAnsi="Garamond"/>
          <w:color w:val="000000" w:themeColor="text1"/>
        </w:rPr>
        <w:t>whose name King scrawled on the bottom of Lybyer’s June 1 report.</w:t>
      </w:r>
      <w:r w:rsidRPr="001B1C7A">
        <w:rPr>
          <w:rStyle w:val="FootnoteReference"/>
          <w:rFonts w:ascii="Garamond" w:hAnsi="Garamond"/>
          <w:color w:val="000000" w:themeColor="text1"/>
        </w:rPr>
        <w:footnoteReference w:id="148"/>
      </w:r>
      <w:r w:rsidRPr="001B1C7A">
        <w:rPr>
          <w:rFonts w:ascii="Garamond" w:hAnsi="Garamond"/>
          <w:color w:val="000000" w:themeColor="text1"/>
        </w:rPr>
        <w:t xml:space="preserve"> </w:t>
      </w:r>
      <w:r w:rsidR="00A62136">
        <w:rPr>
          <w:rFonts w:ascii="Garamond" w:hAnsi="Garamond"/>
          <w:color w:val="000000" w:themeColor="text1"/>
        </w:rPr>
        <w:t xml:space="preserve">As </w:t>
      </w:r>
      <w:r w:rsidRPr="001B1C7A">
        <w:rPr>
          <w:rFonts w:ascii="Garamond" w:hAnsi="Garamond"/>
          <w:color w:val="000000" w:themeColor="text1"/>
        </w:rPr>
        <w:t xml:space="preserve">Lybyer took the most detailed personal notes of any member of the </w:t>
      </w:r>
      <w:r w:rsidR="00C6532D">
        <w:rPr>
          <w:rFonts w:ascii="Garamond" w:hAnsi="Garamond"/>
          <w:color w:val="000000" w:themeColor="text1"/>
        </w:rPr>
        <w:t>K.C.C.</w:t>
      </w:r>
      <w:r w:rsidRPr="001B1C7A">
        <w:rPr>
          <w:rFonts w:ascii="Garamond" w:hAnsi="Garamond"/>
          <w:color w:val="000000" w:themeColor="text1"/>
        </w:rPr>
        <w:t>, one can only imagine the propositions Thomas made to King, Crane or others – in fact, Thomas, Lybyer and Crane shared dinner the night of this conversation.</w:t>
      </w:r>
      <w:r w:rsidR="00BF79CD">
        <w:rPr>
          <w:rStyle w:val="FootnoteReference"/>
          <w:rFonts w:ascii="Garamond" w:hAnsi="Garamond"/>
          <w:color w:val="000000" w:themeColor="text1"/>
        </w:rPr>
        <w:footnoteReference w:id="149"/>
      </w:r>
      <w:r w:rsidRPr="001B1C7A">
        <w:rPr>
          <w:rFonts w:ascii="Garamond" w:hAnsi="Garamond"/>
          <w:color w:val="000000" w:themeColor="text1"/>
        </w:rPr>
        <w:t xml:space="preserve"> </w:t>
      </w:r>
      <w:r w:rsidR="005404BD">
        <w:rPr>
          <w:rFonts w:ascii="Garamond" w:hAnsi="Garamond"/>
          <w:color w:val="000000" w:themeColor="text1"/>
        </w:rPr>
        <w:t>And, a</w:t>
      </w:r>
      <w:r w:rsidRPr="001B1C7A">
        <w:rPr>
          <w:rFonts w:ascii="Garamond" w:hAnsi="Garamond"/>
          <w:color w:val="000000" w:themeColor="text1"/>
        </w:rPr>
        <w:t xml:space="preserve">fter </w:t>
      </w:r>
      <w:r w:rsidR="00852259">
        <w:rPr>
          <w:rFonts w:ascii="Garamond" w:hAnsi="Garamond"/>
          <w:color w:val="000000" w:themeColor="text1"/>
        </w:rPr>
        <w:t>this talk</w:t>
      </w:r>
      <w:r w:rsidRPr="001B1C7A">
        <w:rPr>
          <w:rFonts w:ascii="Garamond" w:hAnsi="Garamond"/>
          <w:color w:val="000000" w:themeColor="text1"/>
        </w:rPr>
        <w:t xml:space="preserve">, Lybyer made suggestions about the final report, to which King was “very kind.” </w:t>
      </w:r>
    </w:p>
    <w:p w14:paraId="0C60134E" w14:textId="0E856C5D" w:rsidR="0030323A" w:rsidRPr="001B1C7A" w:rsidRDefault="0030323A" w:rsidP="00757FEA">
      <w:pPr>
        <w:spacing w:line="480" w:lineRule="auto"/>
        <w:ind w:firstLine="720"/>
        <w:rPr>
          <w:rFonts w:ascii="Garamond" w:hAnsi="Garamond"/>
          <w:color w:val="000000" w:themeColor="text1"/>
        </w:rPr>
      </w:pPr>
      <w:r w:rsidRPr="001B1C7A">
        <w:rPr>
          <w:rFonts w:ascii="Garamond" w:hAnsi="Garamond"/>
          <w:color w:val="000000" w:themeColor="text1"/>
        </w:rPr>
        <w:t xml:space="preserve">Though the commissioners did not visit Mesopotamia, the </w:t>
      </w:r>
      <w:r w:rsidR="00C6532D">
        <w:rPr>
          <w:rFonts w:ascii="Garamond" w:hAnsi="Garamond"/>
          <w:color w:val="000000" w:themeColor="text1"/>
        </w:rPr>
        <w:t>K.C.C.</w:t>
      </w:r>
      <w:r w:rsidRPr="001B1C7A">
        <w:rPr>
          <w:rFonts w:ascii="Garamond" w:hAnsi="Garamond"/>
          <w:color w:val="000000" w:themeColor="text1"/>
        </w:rPr>
        <w:t xml:space="preserve"> report does contain a section on Mesopotamia</w:t>
      </w:r>
      <w:r w:rsidR="00163340">
        <w:rPr>
          <w:rFonts w:ascii="Garamond" w:hAnsi="Garamond"/>
          <w:color w:val="000000" w:themeColor="text1"/>
        </w:rPr>
        <w:t xml:space="preserve">, which lists </w:t>
      </w:r>
      <w:r w:rsidRPr="001B1C7A">
        <w:rPr>
          <w:rFonts w:ascii="Garamond" w:hAnsi="Garamond"/>
          <w:color w:val="000000" w:themeColor="text1"/>
        </w:rPr>
        <w:t xml:space="preserve">the </w:t>
      </w:r>
      <w:r w:rsidR="00C6532D">
        <w:rPr>
          <w:rFonts w:ascii="Garamond" w:hAnsi="Garamond"/>
          <w:color w:val="000000" w:themeColor="text1"/>
        </w:rPr>
        <w:t>K.C.C.</w:t>
      </w:r>
      <w:r w:rsidRPr="001B1C7A">
        <w:rPr>
          <w:rFonts w:ascii="Garamond" w:hAnsi="Garamond"/>
          <w:color w:val="000000" w:themeColor="text1"/>
        </w:rPr>
        <w:t>’s most official condemnation of British activities</w:t>
      </w:r>
      <w:r w:rsidR="00AD55F9">
        <w:rPr>
          <w:rFonts w:ascii="Garamond" w:hAnsi="Garamond"/>
          <w:color w:val="000000" w:themeColor="text1"/>
        </w:rPr>
        <w:t>:</w:t>
      </w:r>
    </w:p>
    <w:p w14:paraId="5CD15A2C" w14:textId="1065C99B" w:rsidR="0030323A" w:rsidRPr="001B1C7A" w:rsidRDefault="0030323A" w:rsidP="00757FEA">
      <w:pPr>
        <w:rPr>
          <w:rFonts w:ascii="Garamond" w:hAnsi="Garamond" w:cs="Arial"/>
          <w:b/>
          <w:bCs/>
          <w:color w:val="000000" w:themeColor="text1"/>
          <w:shd w:val="clear" w:color="auto" w:fill="FFFFFF"/>
        </w:rPr>
      </w:pPr>
      <w:r w:rsidRPr="001B1C7A">
        <w:rPr>
          <w:rFonts w:ascii="Garamond" w:hAnsi="Garamond" w:cs="Arial"/>
          <w:color w:val="000000" w:themeColor="text1"/>
          <w:shd w:val="clear" w:color="auto" w:fill="FFFFFF"/>
        </w:rPr>
        <w:t>In a country so rich as Mesopotamia in agricultural possibilities, in oil, and in other resources, with the best intentions there will inevitably be danger of exploitation and monopolistic control by the Mandatary Power, through making British interests supreme, and especially through large Indian immigration. This danger will need increasingly and most honestly to be guarded against.</w:t>
      </w:r>
      <w:r w:rsidR="003B43EF">
        <w:rPr>
          <w:rStyle w:val="FootnoteReference"/>
          <w:rFonts w:ascii="Garamond" w:hAnsi="Garamond" w:cs="Arial"/>
          <w:color w:val="000000" w:themeColor="text1"/>
          <w:shd w:val="clear" w:color="auto" w:fill="FFFFFF"/>
        </w:rPr>
        <w:footnoteReference w:id="150"/>
      </w:r>
    </w:p>
    <w:p w14:paraId="667D24B8" w14:textId="6685DA7B" w:rsidR="0030323A" w:rsidRDefault="0030323A" w:rsidP="0030323A">
      <w:pPr>
        <w:spacing w:line="480" w:lineRule="auto"/>
        <w:rPr>
          <w:rFonts w:ascii="Garamond" w:hAnsi="Garamond"/>
          <w:color w:val="000000" w:themeColor="text1"/>
        </w:rPr>
      </w:pPr>
    </w:p>
    <w:p w14:paraId="69F6A5C5" w14:textId="5563381D" w:rsidR="0030323A" w:rsidRPr="001B1C7A" w:rsidRDefault="00562491" w:rsidP="0030323A">
      <w:pPr>
        <w:spacing w:line="480" w:lineRule="auto"/>
        <w:rPr>
          <w:rFonts w:ascii="Garamond" w:hAnsi="Garamond"/>
          <w:color w:val="000000" w:themeColor="text1"/>
        </w:rPr>
      </w:pPr>
      <w:r>
        <w:rPr>
          <w:rFonts w:ascii="Garamond" w:hAnsi="Garamond"/>
          <w:color w:val="000000" w:themeColor="text1"/>
        </w:rPr>
        <w:tab/>
      </w:r>
      <w:r w:rsidR="00E46B32">
        <w:rPr>
          <w:rFonts w:ascii="Garamond" w:hAnsi="Garamond"/>
          <w:color w:val="000000" w:themeColor="text1"/>
        </w:rPr>
        <w:t>I</w:t>
      </w:r>
      <w:r>
        <w:rPr>
          <w:rFonts w:ascii="Garamond" w:hAnsi="Garamond"/>
          <w:color w:val="000000" w:themeColor="text1"/>
        </w:rPr>
        <w:t>t</w:t>
      </w:r>
      <w:r w:rsidR="0030323A" w:rsidRPr="001B1C7A">
        <w:rPr>
          <w:rFonts w:ascii="Garamond" w:hAnsi="Garamond"/>
          <w:color w:val="000000" w:themeColor="text1"/>
        </w:rPr>
        <w:t xml:space="preserve"> is likely that either Lybyer’s suggestions after his conversation with Thomas pushed for an inclusion a rebuke of British activity in the </w:t>
      </w:r>
      <w:r w:rsidR="00C6532D">
        <w:rPr>
          <w:rFonts w:ascii="Garamond" w:hAnsi="Garamond"/>
          <w:color w:val="000000" w:themeColor="text1"/>
        </w:rPr>
        <w:t>K.C.C.</w:t>
      </w:r>
      <w:r w:rsidR="0030323A" w:rsidRPr="001B1C7A">
        <w:rPr>
          <w:rFonts w:ascii="Garamond" w:hAnsi="Garamond"/>
          <w:color w:val="000000" w:themeColor="text1"/>
        </w:rPr>
        <w:t xml:space="preserve"> report, that Yale lobbied for this section, or both. Interestingly, as much European political capital went into blocking SOCONY, </w:t>
      </w:r>
      <w:r w:rsidR="00A4074B">
        <w:rPr>
          <w:rFonts w:ascii="Garamond" w:hAnsi="Garamond"/>
          <w:color w:val="000000" w:themeColor="text1"/>
        </w:rPr>
        <w:t>SOCONY</w:t>
      </w:r>
      <w:r w:rsidR="0030323A" w:rsidRPr="001B1C7A">
        <w:rPr>
          <w:rFonts w:ascii="Garamond" w:hAnsi="Garamond"/>
          <w:color w:val="000000" w:themeColor="text1"/>
        </w:rPr>
        <w:t xml:space="preserve"> was reluctant to accept the overt </w:t>
      </w:r>
      <w:r w:rsidR="000B6325">
        <w:rPr>
          <w:rFonts w:ascii="Garamond" w:hAnsi="Garamond"/>
          <w:color w:val="000000" w:themeColor="text1"/>
        </w:rPr>
        <w:t xml:space="preserve">help </w:t>
      </w:r>
      <w:r w:rsidR="0030323A" w:rsidRPr="001B1C7A">
        <w:rPr>
          <w:rFonts w:ascii="Garamond" w:hAnsi="Garamond"/>
          <w:color w:val="000000" w:themeColor="text1"/>
        </w:rPr>
        <w:t xml:space="preserve">of the U.S; it did not want to </w:t>
      </w:r>
      <w:r>
        <w:rPr>
          <w:rFonts w:ascii="Garamond" w:hAnsi="Garamond"/>
          <w:color w:val="000000" w:themeColor="text1"/>
        </w:rPr>
        <w:t xml:space="preserve">explicitly </w:t>
      </w:r>
      <w:r w:rsidR="0030323A" w:rsidRPr="001B1C7A">
        <w:rPr>
          <w:rFonts w:ascii="Garamond" w:hAnsi="Garamond"/>
          <w:color w:val="000000" w:themeColor="text1"/>
        </w:rPr>
        <w:t>owe the government favors.</w:t>
      </w:r>
      <w:r w:rsidR="00E46B32">
        <w:rPr>
          <w:rFonts w:ascii="Garamond" w:hAnsi="Garamond"/>
          <w:color w:val="000000" w:themeColor="text1"/>
        </w:rPr>
        <w:t xml:space="preserve"> </w:t>
      </w:r>
      <w:r w:rsidR="005B4C3C">
        <w:rPr>
          <w:rFonts w:ascii="Garamond" w:hAnsi="Garamond"/>
          <w:color w:val="000000" w:themeColor="text1"/>
        </w:rPr>
        <w:t xml:space="preserve">Instead, </w:t>
      </w:r>
      <w:r w:rsidR="0030323A" w:rsidRPr="001B1C7A">
        <w:rPr>
          <w:rFonts w:ascii="Garamond" w:hAnsi="Garamond"/>
          <w:color w:val="000000" w:themeColor="text1"/>
        </w:rPr>
        <w:t xml:space="preserve">Thomas saw the </w:t>
      </w:r>
      <w:r w:rsidR="00C6532D">
        <w:rPr>
          <w:rFonts w:ascii="Garamond" w:hAnsi="Garamond"/>
          <w:color w:val="000000" w:themeColor="text1"/>
        </w:rPr>
        <w:t>K.C.C.</w:t>
      </w:r>
      <w:r w:rsidR="0030323A" w:rsidRPr="001B1C7A">
        <w:rPr>
          <w:rFonts w:ascii="Garamond" w:hAnsi="Garamond"/>
          <w:color w:val="000000" w:themeColor="text1"/>
        </w:rPr>
        <w:t xml:space="preserve"> and its members as a</w:t>
      </w:r>
      <w:r w:rsidR="00163340">
        <w:rPr>
          <w:rFonts w:ascii="Garamond" w:hAnsi="Garamond"/>
          <w:color w:val="000000" w:themeColor="text1"/>
        </w:rPr>
        <w:t xml:space="preserve">n unofficial </w:t>
      </w:r>
      <w:r w:rsidR="00E46B32">
        <w:rPr>
          <w:rFonts w:ascii="Garamond" w:hAnsi="Garamond"/>
          <w:color w:val="000000" w:themeColor="text1"/>
        </w:rPr>
        <w:t>vehicle</w:t>
      </w:r>
      <w:r w:rsidR="00E46B32" w:rsidRPr="001B1C7A">
        <w:rPr>
          <w:rFonts w:ascii="Garamond" w:hAnsi="Garamond"/>
          <w:color w:val="000000" w:themeColor="text1"/>
        </w:rPr>
        <w:t xml:space="preserve"> </w:t>
      </w:r>
      <w:r w:rsidR="0030323A" w:rsidRPr="001B1C7A">
        <w:rPr>
          <w:rFonts w:ascii="Garamond" w:hAnsi="Garamond"/>
          <w:color w:val="000000" w:themeColor="text1"/>
        </w:rPr>
        <w:t xml:space="preserve">of advancing the </w:t>
      </w:r>
      <w:r w:rsidR="00C6532D">
        <w:rPr>
          <w:rFonts w:ascii="Garamond" w:hAnsi="Garamond"/>
          <w:color w:val="000000" w:themeColor="text1"/>
        </w:rPr>
        <w:t>Open Door</w:t>
      </w:r>
      <w:r w:rsidR="005B4C3C">
        <w:rPr>
          <w:rFonts w:ascii="Garamond" w:hAnsi="Garamond"/>
          <w:color w:val="000000" w:themeColor="text1"/>
        </w:rPr>
        <w:t xml:space="preserve">. </w:t>
      </w:r>
      <w:r>
        <w:rPr>
          <w:rFonts w:ascii="Garamond" w:hAnsi="Garamond"/>
          <w:color w:val="000000" w:themeColor="text1"/>
        </w:rPr>
        <w:t xml:space="preserve">When Yale discussed oil, </w:t>
      </w:r>
      <w:r w:rsidR="00A4074B">
        <w:rPr>
          <w:rFonts w:ascii="Garamond" w:hAnsi="Garamond"/>
          <w:color w:val="000000" w:themeColor="text1"/>
        </w:rPr>
        <w:t xml:space="preserve">however, </w:t>
      </w:r>
      <w:r>
        <w:rPr>
          <w:rFonts w:ascii="Garamond" w:hAnsi="Garamond"/>
          <w:color w:val="000000" w:themeColor="text1"/>
        </w:rPr>
        <w:t>he often spoke in terms of national security, not Thomas’s profits. Yale’s writings and advocacy show how an alignment of circumstance developed between oil companies and the U.S</w:t>
      </w:r>
      <w:r w:rsidR="00163340">
        <w:rPr>
          <w:rFonts w:ascii="Garamond" w:hAnsi="Garamond"/>
          <w:color w:val="000000" w:themeColor="text1"/>
        </w:rPr>
        <w:t xml:space="preserve">; </w:t>
      </w:r>
      <w:r>
        <w:rPr>
          <w:rFonts w:ascii="Garamond" w:hAnsi="Garamond"/>
          <w:color w:val="000000" w:themeColor="text1"/>
        </w:rPr>
        <w:t>U.S. policymakers did not care about SOCONY’s profits – they cared about ensuring the navy had oil.</w:t>
      </w:r>
      <w:r w:rsidR="00E46B32">
        <w:rPr>
          <w:rFonts w:ascii="Garamond" w:hAnsi="Garamond"/>
          <w:color w:val="000000" w:themeColor="text1"/>
        </w:rPr>
        <w:t xml:space="preserve"> </w:t>
      </w:r>
      <w:r w:rsidR="00A4074B">
        <w:rPr>
          <w:rFonts w:ascii="Garamond" w:hAnsi="Garamond"/>
          <w:color w:val="000000" w:themeColor="text1"/>
        </w:rPr>
        <w:t xml:space="preserve">Despite Thomas’s attempts to sway the K.C.C., Yale’s </w:t>
      </w:r>
      <w:r w:rsidR="00A4074B">
        <w:rPr>
          <w:rFonts w:ascii="Garamond" w:hAnsi="Garamond"/>
          <w:color w:val="000000" w:themeColor="text1"/>
        </w:rPr>
        <w:lastRenderedPageBreak/>
        <w:t xml:space="preserve">writings show that the creation of power mattered more to him than SOCONY’s profits. </w:t>
      </w:r>
      <w:r w:rsidR="0030323A" w:rsidRPr="001B1C7A">
        <w:rPr>
          <w:rFonts w:ascii="Garamond" w:hAnsi="Garamond"/>
          <w:color w:val="000000" w:themeColor="text1"/>
        </w:rPr>
        <w:t xml:space="preserve">This chronology has established that the </w:t>
      </w:r>
      <w:r w:rsidR="00C6532D">
        <w:rPr>
          <w:rFonts w:ascii="Garamond" w:hAnsi="Garamond"/>
          <w:color w:val="000000" w:themeColor="text1"/>
        </w:rPr>
        <w:t>K.C.C.</w:t>
      </w:r>
      <w:r w:rsidR="0030323A" w:rsidRPr="001B1C7A">
        <w:rPr>
          <w:rFonts w:ascii="Garamond" w:hAnsi="Garamond"/>
          <w:color w:val="000000" w:themeColor="text1"/>
        </w:rPr>
        <w:t xml:space="preserve"> was interacting with significant figures in the oil game, considering U.S. oil interests in the Middle East and that Yale was the </w:t>
      </w:r>
      <w:r w:rsidR="00C6532D">
        <w:rPr>
          <w:rFonts w:ascii="Garamond" w:hAnsi="Garamond"/>
          <w:color w:val="000000" w:themeColor="text1"/>
        </w:rPr>
        <w:t>K.C.C.</w:t>
      </w:r>
      <w:r w:rsidR="0030323A" w:rsidRPr="001B1C7A">
        <w:rPr>
          <w:rFonts w:ascii="Garamond" w:hAnsi="Garamond"/>
          <w:color w:val="000000" w:themeColor="text1"/>
        </w:rPr>
        <w:t xml:space="preserve">’s go to oil expert. </w:t>
      </w:r>
      <w:r w:rsidR="00163340">
        <w:rPr>
          <w:rFonts w:ascii="Garamond" w:hAnsi="Garamond"/>
          <w:color w:val="000000" w:themeColor="text1"/>
        </w:rPr>
        <w:t>The paper will next</w:t>
      </w:r>
      <w:r w:rsidR="0030323A" w:rsidRPr="001B1C7A">
        <w:rPr>
          <w:rFonts w:ascii="Garamond" w:hAnsi="Garamond"/>
          <w:color w:val="000000" w:themeColor="text1"/>
        </w:rPr>
        <w:t xml:space="preserve"> examine </w:t>
      </w:r>
      <w:r w:rsidR="00163340">
        <w:rPr>
          <w:rFonts w:ascii="Garamond" w:hAnsi="Garamond"/>
          <w:color w:val="000000" w:themeColor="text1"/>
        </w:rPr>
        <w:t xml:space="preserve">the </w:t>
      </w:r>
      <w:r w:rsidR="0030323A" w:rsidRPr="001B1C7A">
        <w:rPr>
          <w:rFonts w:ascii="Garamond" w:hAnsi="Garamond"/>
          <w:color w:val="000000" w:themeColor="text1"/>
        </w:rPr>
        <w:t xml:space="preserve">activities on the periphery of the </w:t>
      </w:r>
      <w:r w:rsidR="00C6532D">
        <w:rPr>
          <w:rFonts w:ascii="Garamond" w:hAnsi="Garamond"/>
          <w:color w:val="000000" w:themeColor="text1"/>
        </w:rPr>
        <w:t>K.C.C.</w:t>
      </w:r>
      <w:r w:rsidR="0030323A" w:rsidRPr="001B1C7A">
        <w:rPr>
          <w:rFonts w:ascii="Garamond" w:hAnsi="Garamond"/>
          <w:color w:val="000000" w:themeColor="text1"/>
        </w:rPr>
        <w:t xml:space="preserve"> that meant to use it as way of inclining U.S. policymakers towards the </w:t>
      </w:r>
      <w:r w:rsidR="00A4074B">
        <w:rPr>
          <w:rFonts w:ascii="Garamond" w:hAnsi="Garamond"/>
          <w:color w:val="000000" w:themeColor="text1"/>
        </w:rPr>
        <w:t>Open Door</w:t>
      </w:r>
      <w:r w:rsidR="0030323A" w:rsidRPr="001B1C7A">
        <w:rPr>
          <w:rFonts w:ascii="Garamond" w:hAnsi="Garamond"/>
          <w:color w:val="000000" w:themeColor="text1"/>
        </w:rPr>
        <w:t xml:space="preserve"> policy. </w:t>
      </w:r>
    </w:p>
    <w:p w14:paraId="36426B3B" w14:textId="143B7190" w:rsidR="0030323A" w:rsidRDefault="0030323A" w:rsidP="0030323A">
      <w:pPr>
        <w:pStyle w:val="Heading2"/>
        <w:numPr>
          <w:ilvl w:val="0"/>
          <w:numId w:val="34"/>
        </w:numPr>
        <w:rPr>
          <w:rFonts w:ascii="Garamond" w:hAnsi="Garamond"/>
          <w:color w:val="000000" w:themeColor="text1"/>
        </w:rPr>
      </w:pPr>
      <w:bookmarkStart w:id="50" w:name="_Toc66731801"/>
      <w:r w:rsidRPr="00C9596E">
        <w:rPr>
          <w:rFonts w:ascii="Garamond" w:hAnsi="Garamond"/>
          <w:color w:val="000000" w:themeColor="text1"/>
        </w:rPr>
        <w:t xml:space="preserve">The </w:t>
      </w:r>
      <w:r w:rsidR="003A0DF9">
        <w:rPr>
          <w:rFonts w:ascii="Garamond" w:hAnsi="Garamond"/>
          <w:color w:val="000000" w:themeColor="text1"/>
        </w:rPr>
        <w:t>Facilitators of the Open Door</w:t>
      </w:r>
      <w:bookmarkEnd w:id="50"/>
      <w:r w:rsidR="003A0DF9">
        <w:rPr>
          <w:rFonts w:ascii="Garamond" w:hAnsi="Garamond"/>
          <w:color w:val="000000" w:themeColor="text1"/>
        </w:rPr>
        <w:t xml:space="preserve"> </w:t>
      </w:r>
      <w:r w:rsidRPr="00C9596E">
        <w:rPr>
          <w:rFonts w:ascii="Garamond" w:hAnsi="Garamond"/>
          <w:color w:val="000000" w:themeColor="text1"/>
        </w:rPr>
        <w:t xml:space="preserve"> </w:t>
      </w:r>
    </w:p>
    <w:p w14:paraId="2D188928" w14:textId="77777777" w:rsidR="0030323A" w:rsidRPr="00C9596E" w:rsidRDefault="0030323A" w:rsidP="0030323A"/>
    <w:p w14:paraId="21528B64" w14:textId="631CC581" w:rsidR="0030323A" w:rsidRDefault="0030323A" w:rsidP="0030323A">
      <w:pPr>
        <w:pStyle w:val="Heading3"/>
        <w:numPr>
          <w:ilvl w:val="0"/>
          <w:numId w:val="37"/>
        </w:numPr>
        <w:rPr>
          <w:rFonts w:ascii="Garamond" w:hAnsi="Garamond"/>
          <w:color w:val="000000" w:themeColor="text1"/>
        </w:rPr>
      </w:pPr>
      <w:bookmarkStart w:id="51" w:name="_Toc66731802"/>
      <w:r w:rsidRPr="00C9596E">
        <w:rPr>
          <w:rFonts w:ascii="Garamond" w:hAnsi="Garamond"/>
          <w:color w:val="000000" w:themeColor="text1"/>
        </w:rPr>
        <w:t>Thomas and Yale</w:t>
      </w:r>
      <w:bookmarkEnd w:id="51"/>
      <w:r w:rsidRPr="00C9596E">
        <w:rPr>
          <w:rFonts w:ascii="Garamond" w:hAnsi="Garamond"/>
          <w:color w:val="000000" w:themeColor="text1"/>
        </w:rPr>
        <w:t xml:space="preserve"> </w:t>
      </w:r>
    </w:p>
    <w:p w14:paraId="61D1D3EF" w14:textId="77777777" w:rsidR="002E2648" w:rsidRPr="002E2648" w:rsidRDefault="002E2648" w:rsidP="002E2648"/>
    <w:p w14:paraId="4A17DAC6" w14:textId="3798B7E2" w:rsidR="0092399A" w:rsidRDefault="0030323A" w:rsidP="00733E17">
      <w:pPr>
        <w:spacing w:line="480" w:lineRule="auto"/>
        <w:ind w:firstLine="720"/>
        <w:rPr>
          <w:rFonts w:ascii="Garamond" w:hAnsi="Garamond"/>
          <w:color w:val="000000" w:themeColor="text1"/>
        </w:rPr>
      </w:pPr>
      <w:r w:rsidRPr="001B1C7A">
        <w:rPr>
          <w:rFonts w:ascii="Garamond" w:hAnsi="Garamond"/>
          <w:color w:val="000000" w:themeColor="text1"/>
        </w:rPr>
        <w:t>One may discard Thomas’s solicitations of the Commissioners as one</w:t>
      </w:r>
      <w:r w:rsidR="00846AB9">
        <w:rPr>
          <w:rFonts w:ascii="Garamond" w:hAnsi="Garamond"/>
          <w:color w:val="000000" w:themeColor="text1"/>
        </w:rPr>
        <w:t>-</w:t>
      </w:r>
      <w:r w:rsidRPr="001B1C7A">
        <w:rPr>
          <w:rFonts w:ascii="Garamond" w:hAnsi="Garamond"/>
          <w:color w:val="000000" w:themeColor="text1"/>
        </w:rPr>
        <w:t xml:space="preserve">off, halfhearted attempts that arose </w:t>
      </w:r>
      <w:r w:rsidR="00846AB9">
        <w:rPr>
          <w:rFonts w:ascii="Garamond" w:hAnsi="Garamond"/>
          <w:color w:val="000000" w:themeColor="text1"/>
        </w:rPr>
        <w:t>by chance</w:t>
      </w:r>
      <w:r w:rsidRPr="001B1C7A">
        <w:rPr>
          <w:rFonts w:ascii="Garamond" w:hAnsi="Garamond"/>
          <w:color w:val="000000" w:themeColor="text1"/>
        </w:rPr>
        <w:t xml:space="preserve">. After all, both the </w:t>
      </w:r>
      <w:r w:rsidR="00677CC4">
        <w:rPr>
          <w:rFonts w:ascii="Garamond" w:hAnsi="Garamond"/>
          <w:color w:val="000000" w:themeColor="text1"/>
        </w:rPr>
        <w:t xml:space="preserve">members of the </w:t>
      </w:r>
      <w:r w:rsidRPr="001B1C7A">
        <w:rPr>
          <w:rFonts w:ascii="Garamond" w:hAnsi="Garamond"/>
          <w:color w:val="000000" w:themeColor="text1"/>
        </w:rPr>
        <w:t>K</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 xml:space="preserve"> and Thomas were important Americans at a time when there were few in the Middle East – it is not a huge surprise they interacted</w:t>
      </w:r>
      <w:r w:rsidR="00EE111E">
        <w:rPr>
          <w:rFonts w:ascii="Garamond" w:hAnsi="Garamond"/>
          <w:color w:val="000000" w:themeColor="text1"/>
        </w:rPr>
        <w:t>.</w:t>
      </w:r>
      <w:r w:rsidRPr="001B1C7A">
        <w:rPr>
          <w:rFonts w:ascii="Garamond" w:hAnsi="Garamond"/>
          <w:color w:val="000000" w:themeColor="text1"/>
        </w:rPr>
        <w:t xml:space="preserve"> When one </w:t>
      </w:r>
      <w:r w:rsidR="0092399A">
        <w:rPr>
          <w:rFonts w:ascii="Garamond" w:hAnsi="Garamond"/>
          <w:color w:val="000000" w:themeColor="text1"/>
        </w:rPr>
        <w:t>contextualizes</w:t>
      </w:r>
      <w:r w:rsidRPr="001B1C7A">
        <w:rPr>
          <w:rFonts w:ascii="Garamond" w:hAnsi="Garamond"/>
          <w:color w:val="000000" w:themeColor="text1"/>
        </w:rPr>
        <w:t xml:space="preserve"> Thomas’s activities, however, his conversations with the K</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 xml:space="preserve"> take the form of a coordinated attempt to influence U.S. thoughts on oil.</w:t>
      </w:r>
      <w:r w:rsidR="00E3575F">
        <w:rPr>
          <w:rFonts w:ascii="Garamond" w:hAnsi="Garamond"/>
          <w:color w:val="000000" w:themeColor="text1"/>
        </w:rPr>
        <w:t xml:space="preserve"> </w:t>
      </w:r>
      <w:r w:rsidRPr="001B1C7A">
        <w:rPr>
          <w:rFonts w:ascii="Garamond" w:hAnsi="Garamond"/>
          <w:color w:val="000000" w:themeColor="text1"/>
        </w:rPr>
        <w:t>Thomas had previously known Yale</w:t>
      </w:r>
      <w:r w:rsidR="00E46B32">
        <w:rPr>
          <w:rFonts w:ascii="Garamond" w:hAnsi="Garamond"/>
          <w:color w:val="000000" w:themeColor="text1"/>
        </w:rPr>
        <w:t xml:space="preserve"> because of his work</w:t>
      </w:r>
      <w:r w:rsidRPr="001B1C7A">
        <w:rPr>
          <w:rFonts w:ascii="Garamond" w:hAnsi="Garamond"/>
          <w:color w:val="000000" w:themeColor="text1"/>
        </w:rPr>
        <w:t xml:space="preserve"> in Palestine </w:t>
      </w:r>
      <w:r w:rsidR="00E46B32">
        <w:rPr>
          <w:rFonts w:ascii="Garamond" w:hAnsi="Garamond"/>
          <w:color w:val="000000" w:themeColor="text1"/>
        </w:rPr>
        <w:t>preceding</w:t>
      </w:r>
      <w:r w:rsidR="00E46B32" w:rsidRPr="001B1C7A">
        <w:rPr>
          <w:rFonts w:ascii="Garamond" w:hAnsi="Garamond"/>
          <w:color w:val="000000" w:themeColor="text1"/>
        </w:rPr>
        <w:t xml:space="preserve"> </w:t>
      </w:r>
      <w:r w:rsidRPr="001B1C7A">
        <w:rPr>
          <w:rFonts w:ascii="Garamond" w:hAnsi="Garamond"/>
          <w:color w:val="000000" w:themeColor="text1"/>
        </w:rPr>
        <w:t>the outbreak of World War I.</w:t>
      </w:r>
      <w:r w:rsidRPr="001B1C7A">
        <w:rPr>
          <w:rStyle w:val="FootnoteReference"/>
          <w:rFonts w:ascii="Garamond" w:hAnsi="Garamond"/>
          <w:color w:val="000000" w:themeColor="text1"/>
        </w:rPr>
        <w:footnoteReference w:id="151"/>
      </w:r>
      <w:r w:rsidRPr="001B1C7A">
        <w:rPr>
          <w:rFonts w:ascii="Garamond" w:hAnsi="Garamond"/>
          <w:color w:val="000000" w:themeColor="text1"/>
        </w:rPr>
        <w:t xml:space="preserve"> Before the </w:t>
      </w:r>
      <w:r w:rsidR="00C6532D">
        <w:rPr>
          <w:rFonts w:ascii="Garamond" w:hAnsi="Garamond"/>
          <w:color w:val="000000" w:themeColor="text1"/>
        </w:rPr>
        <w:t>K.C.C.</w:t>
      </w:r>
      <w:r w:rsidRPr="001B1C7A">
        <w:rPr>
          <w:rFonts w:ascii="Garamond" w:hAnsi="Garamond"/>
          <w:color w:val="000000" w:themeColor="text1"/>
        </w:rPr>
        <w:t xml:space="preserve"> embarked to the Middle East, Thomas drew on this connection with Yale – who only stopped receiving a Standard Oil stipend in November 1919 – and presented him with a map listing SOCONY’s claims in Palestine.</w:t>
      </w:r>
      <w:r w:rsidRPr="001B1C7A">
        <w:rPr>
          <w:rStyle w:val="FootnoteReference"/>
          <w:rFonts w:ascii="Garamond" w:hAnsi="Garamond"/>
          <w:color w:val="000000" w:themeColor="text1"/>
        </w:rPr>
        <w:footnoteReference w:id="152"/>
      </w:r>
      <w:r w:rsidRPr="001B1C7A">
        <w:rPr>
          <w:rFonts w:ascii="Garamond" w:hAnsi="Garamond"/>
          <w:color w:val="000000" w:themeColor="text1"/>
        </w:rPr>
        <w:t xml:space="preserve"> This map showed how European companies had divided the Middle East with no regard for SOCONY’s legal concessions, and reinforce</w:t>
      </w:r>
      <w:r w:rsidR="00EE111E">
        <w:rPr>
          <w:rFonts w:ascii="Garamond" w:hAnsi="Garamond"/>
          <w:color w:val="000000" w:themeColor="text1"/>
        </w:rPr>
        <w:t>d</w:t>
      </w:r>
      <w:r w:rsidRPr="001B1C7A">
        <w:rPr>
          <w:rFonts w:ascii="Garamond" w:hAnsi="Garamond"/>
          <w:color w:val="000000" w:themeColor="text1"/>
        </w:rPr>
        <w:t xml:space="preserve"> the idea that Thomas was </w:t>
      </w:r>
      <w:r w:rsidRPr="00680558">
        <w:rPr>
          <w:rFonts w:ascii="Garamond" w:hAnsi="Garamond"/>
        </w:rPr>
        <w:t>looking</w:t>
      </w:r>
      <w:r w:rsidRPr="001B1C7A">
        <w:rPr>
          <w:rFonts w:ascii="Garamond" w:hAnsi="Garamond"/>
          <w:color w:val="000000" w:themeColor="text1"/>
        </w:rPr>
        <w:t xml:space="preserve"> for avenues to influence K</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 xml:space="preserve"> </w:t>
      </w:r>
      <w:r w:rsidR="00EE111E">
        <w:rPr>
          <w:rFonts w:ascii="Garamond" w:hAnsi="Garamond"/>
          <w:color w:val="000000" w:themeColor="text1"/>
        </w:rPr>
        <w:t>activities</w:t>
      </w:r>
      <w:r w:rsidRPr="001B1C7A">
        <w:rPr>
          <w:rFonts w:ascii="Garamond" w:hAnsi="Garamond"/>
          <w:color w:val="000000" w:themeColor="text1"/>
        </w:rPr>
        <w:t xml:space="preserve">. </w:t>
      </w:r>
      <w:r w:rsidR="00E46B32">
        <w:rPr>
          <w:rFonts w:ascii="Garamond" w:hAnsi="Garamond"/>
          <w:color w:val="000000" w:themeColor="text1"/>
        </w:rPr>
        <w:t xml:space="preserve">                                                        </w:t>
      </w:r>
      <w:r w:rsidRPr="00680558">
        <w:rPr>
          <w:rFonts w:ascii="Garamond" w:hAnsi="Garamond"/>
          <w:color w:val="FFFFFF" w:themeColor="background1"/>
        </w:rPr>
        <w:t>J</w:t>
      </w:r>
      <w:r w:rsidR="00E46B32" w:rsidRPr="00680558">
        <w:rPr>
          <w:rFonts w:ascii="Garamond" w:hAnsi="Garamond"/>
          <w:color w:val="FFFFFF" w:themeColor="background1"/>
        </w:rPr>
        <w:t xml:space="preserve"> </w:t>
      </w:r>
      <w:r w:rsidR="00E46B32">
        <w:rPr>
          <w:rFonts w:ascii="Garamond" w:hAnsi="Garamond"/>
          <w:color w:val="000000" w:themeColor="text1"/>
        </w:rPr>
        <w:t xml:space="preserve">         </w:t>
      </w:r>
    </w:p>
    <w:p w14:paraId="60BEF9B4" w14:textId="4DA8779F" w:rsidR="0030323A" w:rsidRPr="001B1C7A" w:rsidRDefault="00E46B32" w:rsidP="00733E17">
      <w:pPr>
        <w:spacing w:line="480" w:lineRule="auto"/>
        <w:ind w:firstLine="720"/>
        <w:rPr>
          <w:rFonts w:ascii="Garamond" w:hAnsi="Garamond"/>
          <w:color w:val="000000" w:themeColor="text1"/>
        </w:rPr>
      </w:pPr>
      <w:r>
        <w:rPr>
          <w:rFonts w:ascii="Garamond" w:hAnsi="Garamond"/>
          <w:color w:val="000000" w:themeColor="text1"/>
        </w:rPr>
        <w:t>In J</w:t>
      </w:r>
      <w:r w:rsidR="0030323A" w:rsidRPr="001B1C7A">
        <w:rPr>
          <w:rFonts w:ascii="Garamond" w:hAnsi="Garamond"/>
          <w:color w:val="000000" w:themeColor="text1"/>
        </w:rPr>
        <w:t xml:space="preserve">uly 1918, Yale had written about the T.P.C.’s involvement in Palestine in a report to </w:t>
      </w:r>
      <w:r w:rsidR="00C12890">
        <w:rPr>
          <w:rFonts w:ascii="Garamond" w:hAnsi="Garamond"/>
          <w:color w:val="000000" w:themeColor="text1"/>
        </w:rPr>
        <w:t xml:space="preserve">the </w:t>
      </w:r>
      <w:r w:rsidR="0030323A" w:rsidRPr="001B1C7A">
        <w:rPr>
          <w:rFonts w:ascii="Garamond" w:hAnsi="Garamond"/>
          <w:color w:val="000000" w:themeColor="text1"/>
        </w:rPr>
        <w:t>State Department. Yale begins with “Concerning petroleum, it is a well-known fact that certain American oil interests have recently obtained from the Ottoman Government extensive properties in Palestine.”</w:t>
      </w:r>
      <w:r w:rsidR="0030323A" w:rsidRPr="001B1C7A">
        <w:rPr>
          <w:rStyle w:val="FootnoteReference"/>
          <w:rFonts w:ascii="Garamond" w:hAnsi="Garamond"/>
          <w:color w:val="000000" w:themeColor="text1"/>
        </w:rPr>
        <w:footnoteReference w:id="153"/>
      </w:r>
      <w:r w:rsidR="0030323A" w:rsidRPr="001B1C7A">
        <w:rPr>
          <w:rFonts w:ascii="Garamond" w:hAnsi="Garamond"/>
          <w:color w:val="000000" w:themeColor="text1"/>
        </w:rPr>
        <w:t xml:space="preserve"> Yale continues</w:t>
      </w:r>
      <w:r w:rsidR="00EE111E">
        <w:rPr>
          <w:rFonts w:ascii="Garamond" w:hAnsi="Garamond"/>
          <w:color w:val="000000" w:themeColor="text1"/>
        </w:rPr>
        <w:t xml:space="preserve"> with one of his earliest condemnations of the Europeans</w:t>
      </w:r>
      <w:r w:rsidR="0030323A" w:rsidRPr="001B1C7A">
        <w:rPr>
          <w:rFonts w:ascii="Garamond" w:hAnsi="Garamond"/>
          <w:color w:val="000000" w:themeColor="text1"/>
        </w:rPr>
        <w:t xml:space="preserve"> “But it is </w:t>
      </w:r>
      <w:r w:rsidR="0030323A" w:rsidRPr="001B1C7A">
        <w:rPr>
          <w:rFonts w:ascii="Garamond" w:hAnsi="Garamond"/>
          <w:color w:val="000000" w:themeColor="text1"/>
        </w:rPr>
        <w:lastRenderedPageBreak/>
        <w:t>not widely known that in the summer of 1914 the Turkish Petroleum Company had its exports in Palestine; and that it had made binding contracts with prominent Syrian and Palestinians.”</w:t>
      </w:r>
      <w:r w:rsidR="0030323A" w:rsidRPr="001B1C7A">
        <w:rPr>
          <w:rStyle w:val="FootnoteReference"/>
          <w:rFonts w:ascii="Garamond" w:hAnsi="Garamond"/>
          <w:color w:val="000000" w:themeColor="text1"/>
        </w:rPr>
        <w:footnoteReference w:id="154"/>
      </w:r>
      <w:r w:rsidR="0030323A" w:rsidRPr="001B1C7A">
        <w:rPr>
          <w:rFonts w:ascii="Garamond" w:hAnsi="Garamond"/>
          <w:color w:val="000000" w:themeColor="text1"/>
        </w:rPr>
        <w:t xml:space="preserve"> </w:t>
      </w:r>
    </w:p>
    <w:p w14:paraId="197E55DF" w14:textId="2CD83B45"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Thomas’s meetings with Yale could have galvanized Yale’s writings against European oil monopolies during the </w:t>
      </w:r>
      <w:r w:rsidR="00C6532D">
        <w:rPr>
          <w:rFonts w:ascii="Garamond" w:hAnsi="Garamond"/>
          <w:color w:val="000000" w:themeColor="text1"/>
        </w:rPr>
        <w:t>K.C.C.</w:t>
      </w:r>
      <w:r w:rsidRPr="001B1C7A">
        <w:rPr>
          <w:rFonts w:ascii="Garamond" w:hAnsi="Garamond"/>
          <w:color w:val="000000" w:themeColor="text1"/>
        </w:rPr>
        <w:t xml:space="preserve">, as Thomas presented Yale with evidence that substantiated Yale’s previous writings. </w:t>
      </w:r>
      <w:r w:rsidR="00E46B32">
        <w:rPr>
          <w:rFonts w:ascii="Garamond" w:hAnsi="Garamond"/>
          <w:color w:val="000000" w:themeColor="text1"/>
        </w:rPr>
        <w:t>Nor</w:t>
      </w:r>
      <w:r w:rsidRPr="001B1C7A">
        <w:rPr>
          <w:rFonts w:ascii="Garamond" w:hAnsi="Garamond"/>
          <w:color w:val="000000" w:themeColor="text1"/>
        </w:rPr>
        <w:t xml:space="preserve"> was </w:t>
      </w:r>
      <w:r w:rsidR="00E46B32">
        <w:rPr>
          <w:rFonts w:ascii="Garamond" w:hAnsi="Garamond"/>
          <w:color w:val="000000" w:themeColor="text1"/>
        </w:rPr>
        <w:t>Thomas</w:t>
      </w:r>
      <w:r w:rsidRPr="001B1C7A">
        <w:rPr>
          <w:rFonts w:ascii="Garamond" w:hAnsi="Garamond"/>
          <w:color w:val="000000" w:themeColor="text1"/>
        </w:rPr>
        <w:t xml:space="preserve"> </w:t>
      </w:r>
      <w:r w:rsidR="00133A65">
        <w:rPr>
          <w:rFonts w:ascii="Garamond" w:hAnsi="Garamond"/>
          <w:color w:val="000000" w:themeColor="text1"/>
        </w:rPr>
        <w:t>simply</w:t>
      </w:r>
      <w:r w:rsidR="00133A65" w:rsidRPr="001B1C7A">
        <w:rPr>
          <w:rFonts w:ascii="Garamond" w:hAnsi="Garamond"/>
          <w:color w:val="000000" w:themeColor="text1"/>
        </w:rPr>
        <w:t xml:space="preserve"> </w:t>
      </w:r>
      <w:r w:rsidRPr="001B1C7A">
        <w:rPr>
          <w:rFonts w:ascii="Garamond" w:hAnsi="Garamond"/>
          <w:color w:val="000000" w:themeColor="text1"/>
        </w:rPr>
        <w:t xml:space="preserve">regurgitating facts previously given to him by Yale; Yale had sent </w:t>
      </w:r>
      <w:r w:rsidR="00E46B32">
        <w:rPr>
          <w:rFonts w:ascii="Garamond" w:hAnsi="Garamond"/>
          <w:color w:val="000000" w:themeColor="text1"/>
        </w:rPr>
        <w:t>the aforementioned</w:t>
      </w:r>
      <w:r w:rsidR="00E46B32" w:rsidRPr="001B1C7A">
        <w:rPr>
          <w:rFonts w:ascii="Garamond" w:hAnsi="Garamond"/>
          <w:color w:val="000000" w:themeColor="text1"/>
        </w:rPr>
        <w:t xml:space="preserve"> </w:t>
      </w:r>
      <w:r w:rsidRPr="001B1C7A">
        <w:rPr>
          <w:rFonts w:ascii="Garamond" w:hAnsi="Garamond"/>
          <w:color w:val="000000" w:themeColor="text1"/>
        </w:rPr>
        <w:t xml:space="preserve">report to </w:t>
      </w:r>
      <w:r w:rsidR="00677CC4">
        <w:rPr>
          <w:rFonts w:ascii="Garamond" w:hAnsi="Garamond"/>
          <w:color w:val="000000" w:themeColor="text1"/>
        </w:rPr>
        <w:t xml:space="preserve">the State Department’s </w:t>
      </w:r>
      <w:r w:rsidRPr="001B1C7A">
        <w:rPr>
          <w:rFonts w:ascii="Garamond" w:hAnsi="Garamond"/>
          <w:color w:val="000000" w:themeColor="text1"/>
        </w:rPr>
        <w:t>Leland Harrison</w:t>
      </w:r>
      <w:r w:rsidR="00E668B3">
        <w:rPr>
          <w:rFonts w:ascii="Garamond" w:hAnsi="Garamond"/>
          <w:color w:val="000000" w:themeColor="text1"/>
        </w:rPr>
        <w:t>, not SOCONY</w:t>
      </w:r>
      <w:r w:rsidRPr="001B1C7A">
        <w:rPr>
          <w:rFonts w:ascii="Garamond" w:hAnsi="Garamond"/>
          <w:color w:val="000000" w:themeColor="text1"/>
        </w:rPr>
        <w:t>.</w:t>
      </w:r>
      <w:r w:rsidRPr="001B1C7A">
        <w:rPr>
          <w:rStyle w:val="FootnoteReference"/>
          <w:rFonts w:ascii="Garamond" w:hAnsi="Garamond"/>
          <w:color w:val="000000" w:themeColor="text1"/>
        </w:rPr>
        <w:footnoteReference w:id="155"/>
      </w:r>
      <w:r w:rsidRPr="001B1C7A">
        <w:rPr>
          <w:rFonts w:ascii="Garamond" w:hAnsi="Garamond"/>
          <w:color w:val="000000" w:themeColor="text1"/>
        </w:rPr>
        <w:t xml:space="preserve"> Yale</w:t>
      </w:r>
      <w:r w:rsidR="00E46B32">
        <w:rPr>
          <w:rFonts w:ascii="Garamond" w:hAnsi="Garamond"/>
          <w:color w:val="000000" w:themeColor="text1"/>
        </w:rPr>
        <w:t xml:space="preserve"> also</w:t>
      </w:r>
      <w:r w:rsidRPr="001B1C7A">
        <w:rPr>
          <w:rFonts w:ascii="Garamond" w:hAnsi="Garamond"/>
          <w:color w:val="000000" w:themeColor="text1"/>
        </w:rPr>
        <w:t xml:space="preserve"> received his Standard Oil stipend until November 1919 – long after the </w:t>
      </w:r>
      <w:r w:rsidR="00C6532D">
        <w:rPr>
          <w:rFonts w:ascii="Garamond" w:hAnsi="Garamond"/>
          <w:color w:val="000000" w:themeColor="text1"/>
        </w:rPr>
        <w:t>K.C.C.</w:t>
      </w:r>
      <w:r w:rsidRPr="001B1C7A">
        <w:rPr>
          <w:rFonts w:ascii="Garamond" w:hAnsi="Garamond"/>
          <w:color w:val="000000" w:themeColor="text1"/>
        </w:rPr>
        <w:t xml:space="preserve"> </w:t>
      </w:r>
      <w:r w:rsidR="004D4B15">
        <w:rPr>
          <w:rFonts w:ascii="Garamond" w:hAnsi="Garamond"/>
          <w:color w:val="000000" w:themeColor="text1"/>
        </w:rPr>
        <w:t xml:space="preserve">had </w:t>
      </w:r>
      <w:r w:rsidRPr="001B1C7A">
        <w:rPr>
          <w:rFonts w:ascii="Garamond" w:hAnsi="Garamond"/>
          <w:color w:val="000000" w:themeColor="text1"/>
        </w:rPr>
        <w:t>ended.</w:t>
      </w:r>
      <w:r w:rsidRPr="001B1C7A">
        <w:rPr>
          <w:rStyle w:val="FootnoteReference"/>
          <w:rFonts w:ascii="Garamond" w:hAnsi="Garamond"/>
          <w:color w:val="000000" w:themeColor="text1"/>
        </w:rPr>
        <w:footnoteReference w:id="156"/>
      </w:r>
      <w:r w:rsidRPr="001B1C7A">
        <w:rPr>
          <w:rFonts w:ascii="Garamond" w:hAnsi="Garamond"/>
          <w:color w:val="000000" w:themeColor="text1"/>
        </w:rPr>
        <w:t xml:space="preserve"> </w:t>
      </w:r>
      <w:r w:rsidR="007D4E98">
        <w:rPr>
          <w:rFonts w:ascii="Garamond" w:hAnsi="Garamond"/>
          <w:color w:val="000000" w:themeColor="text1"/>
        </w:rPr>
        <w:t>Yale did not</w:t>
      </w:r>
      <w:r w:rsidRPr="001B1C7A">
        <w:rPr>
          <w:rFonts w:ascii="Garamond" w:hAnsi="Garamond"/>
          <w:color w:val="000000" w:themeColor="text1"/>
        </w:rPr>
        <w:t xml:space="preserve"> directly act in the interest of SOCONY. Thomas, rather, played on Yale’s previous analytical</w:t>
      </w:r>
      <w:r w:rsidR="00133A65">
        <w:rPr>
          <w:rFonts w:ascii="Garamond" w:hAnsi="Garamond"/>
          <w:color w:val="000000" w:themeColor="text1"/>
        </w:rPr>
        <w:t>, national security</w:t>
      </w:r>
      <w:r w:rsidRPr="001B1C7A">
        <w:rPr>
          <w:rFonts w:ascii="Garamond" w:hAnsi="Garamond"/>
          <w:color w:val="000000" w:themeColor="text1"/>
        </w:rPr>
        <w:t xml:space="preserve"> inclinations to </w:t>
      </w:r>
      <w:r w:rsidR="00A833A7">
        <w:rPr>
          <w:rFonts w:ascii="Garamond" w:hAnsi="Garamond"/>
          <w:color w:val="000000" w:themeColor="text1"/>
        </w:rPr>
        <w:t>co-opt</w:t>
      </w:r>
      <w:r w:rsidRPr="001B1C7A">
        <w:rPr>
          <w:rFonts w:ascii="Garamond" w:hAnsi="Garamond"/>
          <w:color w:val="000000" w:themeColor="text1"/>
        </w:rPr>
        <w:t xml:space="preserve"> Yale into advocating for an </w:t>
      </w:r>
      <w:r w:rsidR="00C6532D">
        <w:rPr>
          <w:rFonts w:ascii="Garamond" w:hAnsi="Garamond"/>
          <w:color w:val="000000" w:themeColor="text1"/>
        </w:rPr>
        <w:t>Open Door</w:t>
      </w:r>
      <w:r w:rsidR="007D4E98">
        <w:rPr>
          <w:rFonts w:ascii="Garamond" w:hAnsi="Garamond"/>
          <w:color w:val="000000" w:themeColor="text1"/>
        </w:rPr>
        <w:t xml:space="preserve">. Yale, </w:t>
      </w:r>
      <w:r w:rsidR="001A07C5">
        <w:rPr>
          <w:rFonts w:ascii="Garamond" w:hAnsi="Garamond"/>
          <w:color w:val="000000" w:themeColor="text1"/>
        </w:rPr>
        <w:t>seeing oil as the creation of power</w:t>
      </w:r>
      <w:r w:rsidR="007D4E98">
        <w:rPr>
          <w:rFonts w:ascii="Garamond" w:hAnsi="Garamond"/>
          <w:color w:val="000000" w:themeColor="text1"/>
        </w:rPr>
        <w:t xml:space="preserve">, then purveyed these ideas to U.S. policymakers. </w:t>
      </w:r>
      <w:r w:rsidR="001B2C33">
        <w:rPr>
          <w:rFonts w:ascii="Garamond" w:hAnsi="Garamond"/>
          <w:color w:val="000000" w:themeColor="text1"/>
        </w:rPr>
        <w:t xml:space="preserve">Attempts by Thomas at furthering the Open Door do not mean that Yale advocated for the Open Door because of Thomas’s solicitations. </w:t>
      </w:r>
    </w:p>
    <w:p w14:paraId="06631A4D" w14:textId="3EE0142D" w:rsidR="0030323A" w:rsidRPr="00A16282" w:rsidRDefault="0030323A" w:rsidP="00A16282">
      <w:pPr>
        <w:pStyle w:val="Heading3"/>
        <w:numPr>
          <w:ilvl w:val="0"/>
          <w:numId w:val="37"/>
        </w:numPr>
        <w:spacing w:after="100"/>
        <w:rPr>
          <w:rFonts w:ascii="Garamond" w:hAnsi="Garamond"/>
          <w:color w:val="000000" w:themeColor="text1"/>
        </w:rPr>
      </w:pPr>
      <w:bookmarkStart w:id="52" w:name="_Toc66731803"/>
      <w:r w:rsidRPr="00C9596E">
        <w:rPr>
          <w:rFonts w:ascii="Garamond" w:hAnsi="Garamond"/>
          <w:color w:val="000000" w:themeColor="text1"/>
        </w:rPr>
        <w:t xml:space="preserve">Bristol, Thomas and the </w:t>
      </w:r>
      <w:r w:rsidR="00C6532D">
        <w:rPr>
          <w:rFonts w:ascii="Garamond" w:hAnsi="Garamond"/>
          <w:color w:val="000000" w:themeColor="text1"/>
        </w:rPr>
        <w:t>K.C.C.</w:t>
      </w:r>
      <w:bookmarkEnd w:id="52"/>
      <w:r w:rsidRPr="00C9596E">
        <w:rPr>
          <w:rFonts w:ascii="Garamond" w:hAnsi="Garamond"/>
          <w:color w:val="000000" w:themeColor="text1"/>
        </w:rPr>
        <w:t xml:space="preserve">  </w:t>
      </w:r>
    </w:p>
    <w:p w14:paraId="22F4C1A8" w14:textId="0A12D869"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Thomas also cultivated other relationships in the Middle East, especially with Admiral Mark Bristol, U.S. High Commissioner to Turkey from 1919 - 1927.</w:t>
      </w:r>
      <w:r w:rsidRPr="001B1C7A">
        <w:rPr>
          <w:rStyle w:val="FootnoteReference"/>
          <w:rFonts w:ascii="Garamond" w:hAnsi="Garamond"/>
          <w:color w:val="000000" w:themeColor="text1"/>
        </w:rPr>
        <w:footnoteReference w:id="157"/>
      </w:r>
      <w:r w:rsidRPr="001B1C7A">
        <w:rPr>
          <w:rFonts w:ascii="Garamond" w:hAnsi="Garamond"/>
          <w:color w:val="000000" w:themeColor="text1"/>
        </w:rPr>
        <w:t xml:space="preserve"> As American High Commissioner to Turkey, Bristol was the top U.S. representative </w:t>
      </w:r>
      <w:r w:rsidR="00EE111E">
        <w:rPr>
          <w:rFonts w:ascii="Garamond" w:hAnsi="Garamond"/>
          <w:color w:val="000000" w:themeColor="text1"/>
        </w:rPr>
        <w:t>in Anatolia</w:t>
      </w:r>
      <w:r w:rsidRPr="001B1C7A">
        <w:rPr>
          <w:rFonts w:ascii="Garamond" w:hAnsi="Garamond"/>
          <w:color w:val="000000" w:themeColor="text1"/>
        </w:rPr>
        <w:t>. When the K</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 xml:space="preserve"> arrived in Constantinople to see the Bosphorous, Lybyer writes</w:t>
      </w:r>
      <w:r w:rsidR="00E75DDA">
        <w:rPr>
          <w:rFonts w:ascii="Garamond" w:hAnsi="Garamond"/>
          <w:color w:val="000000" w:themeColor="text1"/>
        </w:rPr>
        <w:t>,</w:t>
      </w:r>
      <w:r w:rsidRPr="001B1C7A">
        <w:rPr>
          <w:rFonts w:ascii="Garamond" w:hAnsi="Garamond"/>
          <w:color w:val="000000" w:themeColor="text1"/>
        </w:rPr>
        <w:t xml:space="preserve"> “Admiral Bristol and Consul General Ravndal at wharf to meet us.”</w:t>
      </w:r>
      <w:r w:rsidRPr="001B1C7A">
        <w:rPr>
          <w:rStyle w:val="FootnoteReference"/>
          <w:rFonts w:ascii="Garamond" w:hAnsi="Garamond"/>
          <w:color w:val="000000" w:themeColor="text1"/>
        </w:rPr>
        <w:footnoteReference w:id="158"/>
      </w:r>
      <w:r w:rsidRPr="001B1C7A">
        <w:rPr>
          <w:rFonts w:ascii="Garamond" w:hAnsi="Garamond"/>
          <w:color w:val="000000" w:themeColor="text1"/>
        </w:rPr>
        <w:t xml:space="preserve"> Bristol </w:t>
      </w:r>
      <w:r w:rsidR="00EE111E">
        <w:rPr>
          <w:rFonts w:ascii="Garamond" w:hAnsi="Garamond"/>
          <w:color w:val="000000" w:themeColor="text1"/>
        </w:rPr>
        <w:t>coordinated</w:t>
      </w:r>
      <w:r w:rsidR="00EE111E" w:rsidRPr="001B1C7A">
        <w:rPr>
          <w:rFonts w:ascii="Garamond" w:hAnsi="Garamond"/>
          <w:color w:val="000000" w:themeColor="text1"/>
        </w:rPr>
        <w:t xml:space="preserve"> </w:t>
      </w:r>
      <w:r w:rsidRPr="001B1C7A">
        <w:rPr>
          <w:rFonts w:ascii="Garamond" w:hAnsi="Garamond"/>
          <w:color w:val="000000" w:themeColor="text1"/>
        </w:rPr>
        <w:t>the K</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C</w:t>
      </w:r>
      <w:r w:rsidR="00EE111E">
        <w:rPr>
          <w:rFonts w:ascii="Garamond" w:hAnsi="Garamond"/>
          <w:color w:val="000000" w:themeColor="text1"/>
        </w:rPr>
        <w:t>.</w:t>
      </w:r>
      <w:r w:rsidRPr="001B1C7A">
        <w:rPr>
          <w:rFonts w:ascii="Garamond" w:hAnsi="Garamond"/>
          <w:color w:val="000000" w:themeColor="text1"/>
        </w:rPr>
        <w:t xml:space="preserve">’s stay while in Constantinople, maintained communication with </w:t>
      </w:r>
      <w:r w:rsidR="00EE111E">
        <w:rPr>
          <w:rFonts w:ascii="Garamond" w:hAnsi="Garamond"/>
          <w:color w:val="000000" w:themeColor="text1"/>
        </w:rPr>
        <w:t>the K.C.C.</w:t>
      </w:r>
      <w:r w:rsidR="00EE111E" w:rsidRPr="001B1C7A">
        <w:rPr>
          <w:rFonts w:ascii="Garamond" w:hAnsi="Garamond"/>
          <w:color w:val="000000" w:themeColor="text1"/>
        </w:rPr>
        <w:t xml:space="preserve"> </w:t>
      </w:r>
      <w:r w:rsidRPr="001B1C7A">
        <w:rPr>
          <w:rFonts w:ascii="Garamond" w:hAnsi="Garamond"/>
          <w:color w:val="000000" w:themeColor="text1"/>
        </w:rPr>
        <w:t>throughout the mission and kept in touch with Crane for years to come.</w:t>
      </w:r>
      <w:r w:rsidRPr="001B1C7A">
        <w:rPr>
          <w:rStyle w:val="FootnoteReference"/>
          <w:rFonts w:ascii="Garamond" w:hAnsi="Garamond"/>
          <w:color w:val="000000" w:themeColor="text1"/>
        </w:rPr>
        <w:footnoteReference w:id="159"/>
      </w:r>
      <w:r w:rsidRPr="001B1C7A">
        <w:rPr>
          <w:rFonts w:ascii="Garamond" w:hAnsi="Garamond"/>
          <w:color w:val="000000" w:themeColor="text1"/>
        </w:rPr>
        <w:t xml:space="preserve"> According to historian Charles Beard, Bristol was “the quintessence of Captain A. T. Mahan’s philosophy of economic expansion” which held that the U.S. should be a world power; </w:t>
      </w:r>
      <w:r w:rsidRPr="001B1C7A">
        <w:rPr>
          <w:rFonts w:ascii="Garamond" w:hAnsi="Garamond"/>
          <w:color w:val="000000" w:themeColor="text1"/>
        </w:rPr>
        <w:lastRenderedPageBreak/>
        <w:t xml:space="preserve">control of the seas is essential for world power; and the way to maintain such control </w:t>
      </w:r>
      <w:r w:rsidR="003C384A">
        <w:rPr>
          <w:rFonts w:ascii="Garamond" w:hAnsi="Garamond"/>
          <w:color w:val="000000" w:themeColor="text1"/>
        </w:rPr>
        <w:t>comes</w:t>
      </w:r>
      <w:r w:rsidRPr="001B1C7A">
        <w:rPr>
          <w:rFonts w:ascii="Garamond" w:hAnsi="Garamond"/>
          <w:color w:val="000000" w:themeColor="text1"/>
        </w:rPr>
        <w:t xml:space="preserve"> through a powerful navy.</w:t>
      </w:r>
      <w:r w:rsidRPr="001B1C7A">
        <w:rPr>
          <w:rStyle w:val="FootnoteReference"/>
          <w:rFonts w:ascii="Garamond" w:hAnsi="Garamond"/>
          <w:color w:val="000000" w:themeColor="text1"/>
        </w:rPr>
        <w:footnoteReference w:id="160"/>
      </w:r>
      <w:r w:rsidRPr="001B1C7A">
        <w:rPr>
          <w:rFonts w:ascii="Garamond" w:hAnsi="Garamond"/>
          <w:color w:val="000000" w:themeColor="text1"/>
        </w:rPr>
        <w:t xml:space="preserve"> </w:t>
      </w:r>
      <w:r w:rsidR="00133A65">
        <w:rPr>
          <w:rFonts w:ascii="Garamond" w:hAnsi="Garamond"/>
          <w:color w:val="000000" w:themeColor="text1"/>
        </w:rPr>
        <w:t xml:space="preserve">In 1913, Mahan advised </w:t>
      </w:r>
      <w:r w:rsidR="004D4B15">
        <w:rPr>
          <w:rFonts w:ascii="Garamond" w:hAnsi="Garamond"/>
          <w:color w:val="000000" w:themeColor="text1"/>
        </w:rPr>
        <w:t xml:space="preserve">the </w:t>
      </w:r>
      <w:r w:rsidR="00133A65">
        <w:rPr>
          <w:rFonts w:ascii="Garamond" w:hAnsi="Garamond"/>
          <w:color w:val="000000" w:themeColor="text1"/>
        </w:rPr>
        <w:t xml:space="preserve">Secretary of the Navy that “to uphold </w:t>
      </w:r>
      <w:r w:rsidR="00133A65" w:rsidRPr="00133A65">
        <w:rPr>
          <w:rFonts w:ascii="Garamond" w:hAnsi="Garamond"/>
          <w:color w:val="000000" w:themeColor="text1"/>
        </w:rPr>
        <w:t xml:space="preserve">the </w:t>
      </w:r>
      <w:r w:rsidR="00133A65">
        <w:rPr>
          <w:rFonts w:ascii="Garamond" w:hAnsi="Garamond"/>
          <w:color w:val="000000" w:themeColor="text1"/>
        </w:rPr>
        <w:t>O</w:t>
      </w:r>
      <w:r w:rsidR="00133A65" w:rsidRPr="00133A65">
        <w:rPr>
          <w:rFonts w:ascii="Garamond" w:hAnsi="Garamond"/>
          <w:color w:val="000000" w:themeColor="text1"/>
        </w:rPr>
        <w:t xml:space="preserve">pen </w:t>
      </w:r>
      <w:r w:rsidR="00133A65">
        <w:rPr>
          <w:rFonts w:ascii="Garamond" w:hAnsi="Garamond"/>
          <w:color w:val="000000" w:themeColor="text1"/>
        </w:rPr>
        <w:t>D</w:t>
      </w:r>
      <w:r w:rsidR="00133A65" w:rsidRPr="00133A65">
        <w:rPr>
          <w:rFonts w:ascii="Garamond" w:hAnsi="Garamond"/>
          <w:color w:val="000000" w:themeColor="text1"/>
        </w:rPr>
        <w:t xml:space="preserve">oor and the Monroe doctrine, the navy required three main bases on each ocean: Puget sound, </w:t>
      </w:r>
      <w:r w:rsidR="00133A65">
        <w:rPr>
          <w:rFonts w:ascii="Garamond" w:hAnsi="Garamond"/>
          <w:color w:val="000000" w:themeColor="text1"/>
        </w:rPr>
        <w:t>P</w:t>
      </w:r>
      <w:r w:rsidR="00133A65" w:rsidRPr="00133A65">
        <w:rPr>
          <w:rFonts w:ascii="Garamond" w:hAnsi="Garamond"/>
          <w:color w:val="000000" w:themeColor="text1"/>
        </w:rPr>
        <w:t xml:space="preserve">earl </w:t>
      </w:r>
      <w:r w:rsidR="00133A65">
        <w:rPr>
          <w:rFonts w:ascii="Garamond" w:hAnsi="Garamond"/>
          <w:color w:val="000000" w:themeColor="text1"/>
        </w:rPr>
        <w:t>H</w:t>
      </w:r>
      <w:r w:rsidR="00133A65" w:rsidRPr="00133A65">
        <w:rPr>
          <w:rFonts w:ascii="Garamond" w:hAnsi="Garamond"/>
          <w:color w:val="000000" w:themeColor="text1"/>
        </w:rPr>
        <w:t xml:space="preserve">arbor and </w:t>
      </w:r>
      <w:r w:rsidR="00133A65">
        <w:rPr>
          <w:rFonts w:ascii="Garamond" w:hAnsi="Garamond"/>
          <w:color w:val="000000" w:themeColor="text1"/>
        </w:rPr>
        <w:t>G</w:t>
      </w:r>
      <w:r w:rsidR="00133A65" w:rsidRPr="00133A65">
        <w:rPr>
          <w:rFonts w:ascii="Garamond" w:hAnsi="Garamond"/>
          <w:color w:val="000000" w:themeColor="text1"/>
        </w:rPr>
        <w:t xml:space="preserve">uam in the pacific, and </w:t>
      </w:r>
      <w:r w:rsidR="00133A65">
        <w:rPr>
          <w:rFonts w:ascii="Garamond" w:hAnsi="Garamond"/>
          <w:color w:val="000000" w:themeColor="text1"/>
        </w:rPr>
        <w:t>N</w:t>
      </w:r>
      <w:r w:rsidR="00133A65" w:rsidRPr="00133A65">
        <w:rPr>
          <w:rFonts w:ascii="Garamond" w:hAnsi="Garamond"/>
          <w:color w:val="000000" w:themeColor="text1"/>
        </w:rPr>
        <w:t>ew York, Norfolk an</w:t>
      </w:r>
      <w:r w:rsidR="00133A65">
        <w:rPr>
          <w:rFonts w:ascii="Garamond" w:hAnsi="Garamond"/>
          <w:color w:val="000000" w:themeColor="text1"/>
        </w:rPr>
        <w:t>d</w:t>
      </w:r>
      <w:r w:rsidR="00133A65" w:rsidRPr="00133A65">
        <w:rPr>
          <w:rFonts w:ascii="Garamond" w:hAnsi="Garamond"/>
          <w:color w:val="000000" w:themeColor="text1"/>
        </w:rPr>
        <w:t xml:space="preserve"> Guantanamo </w:t>
      </w:r>
      <w:r w:rsidR="00133A65">
        <w:rPr>
          <w:rFonts w:ascii="Garamond" w:hAnsi="Garamond"/>
          <w:color w:val="000000" w:themeColor="text1"/>
        </w:rPr>
        <w:t>in the Atlantic and Caribbean.</w:t>
      </w:r>
      <w:r w:rsidR="00E17DEC">
        <w:rPr>
          <w:rFonts w:ascii="Garamond" w:hAnsi="Garamond"/>
          <w:color w:val="000000" w:themeColor="text1"/>
        </w:rPr>
        <w:t>”</w:t>
      </w:r>
      <w:r w:rsidR="00133A65">
        <w:rPr>
          <w:rStyle w:val="FootnoteReference"/>
          <w:rFonts w:ascii="Garamond" w:hAnsi="Garamond"/>
          <w:color w:val="000000" w:themeColor="text1"/>
        </w:rPr>
        <w:footnoteReference w:id="161"/>
      </w:r>
      <w:r w:rsidR="00133A65">
        <w:rPr>
          <w:rFonts w:ascii="Garamond" w:hAnsi="Garamond"/>
          <w:color w:val="000000" w:themeColor="text1"/>
        </w:rPr>
        <w:t xml:space="preserve"> Mahan’s statements reflect the interaction between the Open Door and national security: bases in the Pacific and Atlantic would help the U.S. project power and uphold the Open Door</w:t>
      </w:r>
      <w:r w:rsidR="00EE111E">
        <w:rPr>
          <w:rFonts w:ascii="Garamond" w:hAnsi="Garamond"/>
          <w:color w:val="000000" w:themeColor="text1"/>
        </w:rPr>
        <w:t>; i</w:t>
      </w:r>
      <w:r w:rsidR="00133A65">
        <w:rPr>
          <w:rFonts w:ascii="Garamond" w:hAnsi="Garamond"/>
          <w:color w:val="000000" w:themeColor="text1"/>
        </w:rPr>
        <w:t>n turn, the Open</w:t>
      </w:r>
      <w:r w:rsidR="00EE111E">
        <w:rPr>
          <w:rFonts w:ascii="Garamond" w:hAnsi="Garamond"/>
          <w:color w:val="000000" w:themeColor="text1"/>
        </w:rPr>
        <w:t xml:space="preserve"> </w:t>
      </w:r>
      <w:r w:rsidR="00133A65">
        <w:rPr>
          <w:rFonts w:ascii="Garamond" w:hAnsi="Garamond"/>
          <w:color w:val="000000" w:themeColor="text1"/>
        </w:rPr>
        <w:t xml:space="preserve">Door applied to other regions, such as the Middle East, would ensure the feasibility of this power projection – </w:t>
      </w:r>
      <w:r w:rsidR="00EE111E">
        <w:rPr>
          <w:rFonts w:ascii="Garamond" w:hAnsi="Garamond"/>
          <w:color w:val="000000" w:themeColor="text1"/>
        </w:rPr>
        <w:t>or</w:t>
      </w:r>
      <w:r w:rsidR="00133A65">
        <w:rPr>
          <w:rFonts w:ascii="Garamond" w:hAnsi="Garamond"/>
          <w:color w:val="000000" w:themeColor="text1"/>
        </w:rPr>
        <w:t xml:space="preserve"> </w:t>
      </w:r>
      <w:r w:rsidR="00EE111E">
        <w:rPr>
          <w:rFonts w:ascii="Garamond" w:hAnsi="Garamond"/>
          <w:color w:val="000000" w:themeColor="text1"/>
        </w:rPr>
        <w:t>an adequate oil supply to</w:t>
      </w:r>
      <w:r w:rsidR="00133A65">
        <w:rPr>
          <w:rFonts w:ascii="Garamond" w:hAnsi="Garamond"/>
          <w:color w:val="000000" w:themeColor="text1"/>
        </w:rPr>
        <w:t xml:space="preserve"> counter threats from Japan.</w:t>
      </w:r>
      <w:r w:rsidRPr="001B1C7A">
        <w:rPr>
          <w:rFonts w:ascii="Garamond" w:hAnsi="Garamond"/>
          <w:color w:val="000000" w:themeColor="text1"/>
        </w:rPr>
        <w:t xml:space="preserve"> </w:t>
      </w:r>
      <w:r w:rsidR="004D4B15">
        <w:rPr>
          <w:rFonts w:ascii="Garamond" w:hAnsi="Garamond"/>
          <w:color w:val="000000" w:themeColor="text1"/>
        </w:rPr>
        <w:t>As</w:t>
      </w:r>
      <w:r w:rsidR="0075161E">
        <w:rPr>
          <w:rFonts w:ascii="Garamond" w:hAnsi="Garamond"/>
          <w:color w:val="000000" w:themeColor="text1"/>
        </w:rPr>
        <w:t xml:space="preserve"> Bristol was the quintessence of Mahan’s philosophy of economic expansion, he also </w:t>
      </w:r>
      <w:r w:rsidR="004D4B15">
        <w:rPr>
          <w:rFonts w:ascii="Garamond" w:hAnsi="Garamond"/>
          <w:color w:val="000000" w:themeColor="text1"/>
        </w:rPr>
        <w:t>was</w:t>
      </w:r>
      <w:r w:rsidR="0075161E">
        <w:rPr>
          <w:rFonts w:ascii="Garamond" w:hAnsi="Garamond"/>
          <w:color w:val="000000" w:themeColor="text1"/>
        </w:rPr>
        <w:t xml:space="preserve"> a proponent of the Open Door in the Middle East. </w:t>
      </w:r>
      <w:r w:rsidRPr="001B1C7A">
        <w:rPr>
          <w:rFonts w:ascii="Garamond" w:hAnsi="Garamond"/>
          <w:color w:val="000000" w:themeColor="text1"/>
        </w:rPr>
        <w:t xml:space="preserve"> </w:t>
      </w:r>
    </w:p>
    <w:p w14:paraId="22B62106" w14:textId="1168B862"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Being a proponent of the </w:t>
      </w:r>
      <w:r w:rsidR="00227ABC">
        <w:rPr>
          <w:rFonts w:ascii="Garamond" w:hAnsi="Garamond"/>
          <w:color w:val="000000" w:themeColor="text1"/>
        </w:rPr>
        <w:t>Open Door</w:t>
      </w:r>
      <w:r w:rsidRPr="001B1C7A">
        <w:rPr>
          <w:rFonts w:ascii="Garamond" w:hAnsi="Garamond"/>
          <w:color w:val="000000" w:themeColor="text1"/>
        </w:rPr>
        <w:t xml:space="preserve"> in 1919 meant that one attracted personalities like Thomas. Bristol and Thomas exchanged correspondence on numerous occasions. In November 1920, Bristol writes to Thomas “our government represents businessmen who must make the government take a proper stand.”</w:t>
      </w:r>
      <w:r w:rsidRPr="001B1C7A">
        <w:rPr>
          <w:rStyle w:val="FootnoteReference"/>
          <w:rFonts w:ascii="Garamond" w:hAnsi="Garamond"/>
          <w:color w:val="000000" w:themeColor="text1"/>
        </w:rPr>
        <w:footnoteReference w:id="162"/>
      </w:r>
      <w:r w:rsidRPr="001B1C7A">
        <w:rPr>
          <w:rFonts w:ascii="Garamond" w:hAnsi="Garamond"/>
          <w:color w:val="000000" w:themeColor="text1"/>
        </w:rPr>
        <w:t xml:space="preserve"> Bristol obviously knew Thomas before then, as Thomas was accompanying the </w:t>
      </w:r>
      <w:r w:rsidR="00C6532D">
        <w:rPr>
          <w:rFonts w:ascii="Garamond" w:hAnsi="Garamond"/>
          <w:color w:val="000000" w:themeColor="text1"/>
        </w:rPr>
        <w:t>K.C.C.</w:t>
      </w:r>
      <w:r w:rsidRPr="001B1C7A">
        <w:rPr>
          <w:rFonts w:ascii="Garamond" w:hAnsi="Garamond"/>
          <w:color w:val="000000" w:themeColor="text1"/>
        </w:rPr>
        <w:t xml:space="preserve"> while with Bristol on </w:t>
      </w:r>
      <w:r w:rsidR="004D4B15">
        <w:rPr>
          <w:rFonts w:ascii="Garamond" w:hAnsi="Garamond"/>
          <w:color w:val="000000" w:themeColor="text1"/>
        </w:rPr>
        <w:t>its</w:t>
      </w:r>
      <w:r w:rsidR="004D4B15" w:rsidRPr="001B1C7A">
        <w:rPr>
          <w:rFonts w:ascii="Garamond" w:hAnsi="Garamond"/>
          <w:color w:val="000000" w:themeColor="text1"/>
        </w:rPr>
        <w:t xml:space="preserve"> </w:t>
      </w:r>
      <w:r w:rsidRPr="001B1C7A">
        <w:rPr>
          <w:rFonts w:ascii="Garamond" w:hAnsi="Garamond"/>
          <w:color w:val="000000" w:themeColor="text1"/>
        </w:rPr>
        <w:t xml:space="preserve">first stop in Constantinople. Bristol was committed to the U.S. interests of the </w:t>
      </w:r>
      <w:r w:rsidR="00C6532D">
        <w:rPr>
          <w:rFonts w:ascii="Garamond" w:hAnsi="Garamond"/>
          <w:color w:val="000000" w:themeColor="text1"/>
        </w:rPr>
        <w:t>Open Door</w:t>
      </w:r>
      <w:r w:rsidRPr="001B1C7A">
        <w:rPr>
          <w:rFonts w:ascii="Garamond" w:hAnsi="Garamond"/>
          <w:color w:val="000000" w:themeColor="text1"/>
        </w:rPr>
        <w:t xml:space="preserve">, which benefited </w:t>
      </w:r>
      <w:r w:rsidR="00222E1B">
        <w:rPr>
          <w:rFonts w:ascii="Garamond" w:hAnsi="Garamond"/>
          <w:color w:val="000000" w:themeColor="text1"/>
        </w:rPr>
        <w:t xml:space="preserve">U.S. national security, </w:t>
      </w:r>
      <w:r w:rsidR="00EE78A3">
        <w:rPr>
          <w:rFonts w:ascii="Garamond" w:hAnsi="Garamond"/>
          <w:color w:val="000000" w:themeColor="text1"/>
        </w:rPr>
        <w:t>but</w:t>
      </w:r>
      <w:r w:rsidR="00222E1B">
        <w:rPr>
          <w:rFonts w:ascii="Garamond" w:hAnsi="Garamond"/>
          <w:color w:val="000000" w:themeColor="text1"/>
        </w:rPr>
        <w:t xml:space="preserve"> also </w:t>
      </w:r>
      <w:r w:rsidRPr="001B1C7A">
        <w:rPr>
          <w:rFonts w:ascii="Garamond" w:hAnsi="Garamond"/>
          <w:color w:val="000000" w:themeColor="text1"/>
        </w:rPr>
        <w:t xml:space="preserve">SOCONY and other U.S. companies. In January </w:t>
      </w:r>
      <w:r w:rsidR="00A833A7">
        <w:rPr>
          <w:rFonts w:ascii="Garamond" w:hAnsi="Garamond"/>
          <w:color w:val="000000" w:themeColor="text1"/>
        </w:rPr>
        <w:t>of 19</w:t>
      </w:r>
      <w:r w:rsidRPr="001B1C7A">
        <w:rPr>
          <w:rFonts w:ascii="Garamond" w:hAnsi="Garamond"/>
          <w:color w:val="000000" w:themeColor="text1"/>
        </w:rPr>
        <w:t xml:space="preserve">20, Bristol received a letter from E. J. Sadler, a former naval officer serving in SOCONY’s Near East division, </w:t>
      </w:r>
      <w:r w:rsidR="001B2C33">
        <w:rPr>
          <w:rFonts w:ascii="Garamond" w:hAnsi="Garamond"/>
          <w:color w:val="000000" w:themeColor="text1"/>
        </w:rPr>
        <w:t>thar</w:t>
      </w:r>
      <w:r w:rsidRPr="001B1C7A">
        <w:rPr>
          <w:rFonts w:ascii="Garamond" w:hAnsi="Garamond"/>
          <w:color w:val="000000" w:themeColor="text1"/>
        </w:rPr>
        <w:t xml:space="preserve"> discussed “the need for the State Department to seek equal opportunity for American oil firms in the Mesopotamian oil fields.”</w:t>
      </w:r>
      <w:r w:rsidRPr="001B1C7A">
        <w:rPr>
          <w:rStyle w:val="FootnoteReference"/>
          <w:rFonts w:ascii="Garamond" w:hAnsi="Garamond"/>
          <w:color w:val="000000" w:themeColor="text1"/>
        </w:rPr>
        <w:footnoteReference w:id="163"/>
      </w:r>
      <w:r w:rsidRPr="001B1C7A">
        <w:rPr>
          <w:rFonts w:ascii="Garamond" w:hAnsi="Garamond"/>
          <w:color w:val="000000" w:themeColor="text1"/>
        </w:rPr>
        <w:t xml:space="preserve"> Bristol promptly acted on this information by referring it to the State Department, showing his strong desire to assist companies, notably Standard Oil, in the Middle East.</w:t>
      </w:r>
      <w:r w:rsidR="00A833A7">
        <w:rPr>
          <w:rStyle w:val="FootnoteReference"/>
          <w:rFonts w:ascii="Garamond" w:hAnsi="Garamond"/>
          <w:color w:val="000000" w:themeColor="text1"/>
        </w:rPr>
        <w:footnoteReference w:id="164"/>
      </w:r>
      <w:r w:rsidRPr="001B1C7A">
        <w:rPr>
          <w:rFonts w:ascii="Garamond" w:hAnsi="Garamond"/>
          <w:color w:val="000000" w:themeColor="text1"/>
        </w:rPr>
        <w:t xml:space="preserve"> Admiral </w:t>
      </w:r>
      <w:r w:rsidR="00092EED">
        <w:rPr>
          <w:rFonts w:ascii="Garamond" w:hAnsi="Garamond"/>
          <w:color w:val="000000" w:themeColor="text1"/>
        </w:rPr>
        <w:t xml:space="preserve">Bristol </w:t>
      </w:r>
      <w:r w:rsidRPr="001B1C7A">
        <w:rPr>
          <w:rFonts w:ascii="Garamond" w:hAnsi="Garamond"/>
          <w:color w:val="000000" w:themeColor="text1"/>
        </w:rPr>
        <w:t xml:space="preserve">would prove key to facilitating strong commercial and political relations between Kemalist </w:t>
      </w:r>
      <w:r w:rsidRPr="001B1C7A">
        <w:rPr>
          <w:rFonts w:ascii="Garamond" w:hAnsi="Garamond"/>
          <w:color w:val="000000" w:themeColor="text1"/>
        </w:rPr>
        <w:lastRenderedPageBreak/>
        <w:t>Turkey and the U.S; he established shipping boards at ports around the Eastern Mediterranean</w:t>
      </w:r>
      <w:r w:rsidRPr="001B1C7A">
        <w:rPr>
          <w:rStyle w:val="FootnoteReference"/>
          <w:rFonts w:ascii="Garamond" w:hAnsi="Garamond"/>
          <w:color w:val="000000" w:themeColor="text1"/>
        </w:rPr>
        <w:footnoteReference w:id="165"/>
      </w:r>
      <w:r w:rsidRPr="001B1C7A">
        <w:rPr>
          <w:rFonts w:ascii="Garamond" w:hAnsi="Garamond"/>
          <w:color w:val="000000" w:themeColor="text1"/>
        </w:rPr>
        <w:t>; and in 1920 he actively aided Thomas in refuting a consumption tax applied by the Europeans.</w:t>
      </w:r>
      <w:r w:rsidRPr="001B1C7A">
        <w:rPr>
          <w:rStyle w:val="FootnoteReference"/>
          <w:rFonts w:ascii="Garamond" w:hAnsi="Garamond"/>
          <w:color w:val="000000" w:themeColor="text1"/>
        </w:rPr>
        <w:footnoteReference w:id="166"/>
      </w:r>
      <w:r w:rsidR="00222E1B">
        <w:rPr>
          <w:rFonts w:ascii="Garamond" w:hAnsi="Garamond"/>
          <w:color w:val="000000" w:themeColor="text1"/>
        </w:rPr>
        <w:t xml:space="preserve"> Bristol saw increased economic interaction with Turkey as important to U.S. national security because it would </w:t>
      </w:r>
      <w:r w:rsidR="00EE111E">
        <w:rPr>
          <w:rFonts w:ascii="Garamond" w:hAnsi="Garamond"/>
          <w:color w:val="000000" w:themeColor="text1"/>
        </w:rPr>
        <w:t>reduce Britain and France’s dominance over Turkey</w:t>
      </w:r>
      <w:r w:rsidR="00BC660C">
        <w:rPr>
          <w:rFonts w:ascii="Garamond" w:hAnsi="Garamond"/>
          <w:color w:val="000000" w:themeColor="text1"/>
        </w:rPr>
        <w:t xml:space="preserve">, </w:t>
      </w:r>
      <w:r w:rsidR="00222E1B">
        <w:rPr>
          <w:rFonts w:ascii="Garamond" w:hAnsi="Garamond"/>
          <w:color w:val="000000" w:themeColor="text1"/>
        </w:rPr>
        <w:t>help nudge the Kemalists along a progressive path</w:t>
      </w:r>
      <w:r w:rsidR="00BC660C">
        <w:rPr>
          <w:rFonts w:ascii="Garamond" w:hAnsi="Garamond"/>
          <w:color w:val="000000" w:themeColor="text1"/>
        </w:rPr>
        <w:t xml:space="preserve"> and bring about “an informal alliance between Turkey and the United States</w:t>
      </w:r>
      <w:r w:rsidR="00222E1B">
        <w:rPr>
          <w:rFonts w:ascii="Garamond" w:hAnsi="Garamond"/>
          <w:color w:val="000000" w:themeColor="text1"/>
        </w:rPr>
        <w:t>.</w:t>
      </w:r>
      <w:r w:rsidR="00BC660C">
        <w:rPr>
          <w:rFonts w:ascii="Garamond" w:hAnsi="Garamond"/>
          <w:color w:val="000000" w:themeColor="text1"/>
        </w:rPr>
        <w:t>”</w:t>
      </w:r>
      <w:r w:rsidR="00222E1B">
        <w:rPr>
          <w:rStyle w:val="FootnoteReference"/>
          <w:rFonts w:ascii="Garamond" w:hAnsi="Garamond"/>
          <w:color w:val="000000" w:themeColor="text1"/>
        </w:rPr>
        <w:footnoteReference w:id="167"/>
      </w:r>
      <w:r w:rsidR="00222E1B">
        <w:rPr>
          <w:rFonts w:ascii="Garamond" w:hAnsi="Garamond"/>
          <w:color w:val="000000" w:themeColor="text1"/>
        </w:rPr>
        <w:t xml:space="preserve"> The Admiral, consequently, pushed for the Open Door </w:t>
      </w:r>
      <w:r w:rsidR="00EE111E">
        <w:rPr>
          <w:rFonts w:ascii="Garamond" w:hAnsi="Garamond"/>
          <w:color w:val="000000" w:themeColor="text1"/>
        </w:rPr>
        <w:t>to facilitate economic ties that would, from his perspective, strengthen U.S.</w:t>
      </w:r>
      <w:r w:rsidR="00222E1B">
        <w:rPr>
          <w:rFonts w:ascii="Garamond" w:hAnsi="Garamond"/>
          <w:color w:val="000000" w:themeColor="text1"/>
        </w:rPr>
        <w:t xml:space="preserve"> national security</w:t>
      </w:r>
      <w:r w:rsidR="00EE111E">
        <w:rPr>
          <w:rFonts w:ascii="Garamond" w:hAnsi="Garamond"/>
          <w:color w:val="000000" w:themeColor="text1"/>
        </w:rPr>
        <w:t xml:space="preserve">. </w:t>
      </w:r>
    </w:p>
    <w:p w14:paraId="401DB899" w14:textId="76A22D66"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Bristol </w:t>
      </w:r>
      <w:r w:rsidR="00222E1B">
        <w:rPr>
          <w:rFonts w:ascii="Garamond" w:hAnsi="Garamond"/>
          <w:color w:val="000000" w:themeColor="text1"/>
        </w:rPr>
        <w:t xml:space="preserve">also </w:t>
      </w:r>
      <w:r w:rsidRPr="001B1C7A">
        <w:rPr>
          <w:rFonts w:ascii="Garamond" w:hAnsi="Garamond"/>
          <w:color w:val="000000" w:themeColor="text1"/>
        </w:rPr>
        <w:t>facilitated interactions between Turkish civil society and the K</w:t>
      </w:r>
      <w:r w:rsidR="00E554C0">
        <w:rPr>
          <w:rFonts w:ascii="Garamond" w:hAnsi="Garamond"/>
          <w:color w:val="000000" w:themeColor="text1"/>
        </w:rPr>
        <w:t>.</w:t>
      </w:r>
      <w:r w:rsidRPr="001B1C7A">
        <w:rPr>
          <w:rFonts w:ascii="Garamond" w:hAnsi="Garamond"/>
          <w:color w:val="000000" w:themeColor="text1"/>
        </w:rPr>
        <w:t>C</w:t>
      </w:r>
      <w:r w:rsidR="00E554C0">
        <w:rPr>
          <w:rFonts w:ascii="Garamond" w:hAnsi="Garamond"/>
          <w:color w:val="000000" w:themeColor="text1"/>
        </w:rPr>
        <w:t>.</w:t>
      </w:r>
      <w:r w:rsidRPr="001B1C7A">
        <w:rPr>
          <w:rFonts w:ascii="Garamond" w:hAnsi="Garamond"/>
          <w:color w:val="000000" w:themeColor="text1"/>
        </w:rPr>
        <w:t>C</w:t>
      </w:r>
      <w:r w:rsidR="00E554C0">
        <w:rPr>
          <w:rFonts w:ascii="Garamond" w:hAnsi="Garamond"/>
          <w:color w:val="000000" w:themeColor="text1"/>
        </w:rPr>
        <w:t>.</w:t>
      </w:r>
      <w:r w:rsidRPr="001B1C7A">
        <w:rPr>
          <w:rFonts w:ascii="Garamond" w:hAnsi="Garamond"/>
          <w:color w:val="000000" w:themeColor="text1"/>
        </w:rPr>
        <w:t xml:space="preserve"> at the time of their visit to Constantinople, especially those that wanted to see an end to European exclusionary policies. </w:t>
      </w:r>
      <w:r w:rsidR="00A833A7">
        <w:rPr>
          <w:rFonts w:ascii="Garamond" w:hAnsi="Garamond"/>
          <w:color w:val="000000" w:themeColor="text1"/>
        </w:rPr>
        <w:t xml:space="preserve">Specifically, </w:t>
      </w:r>
      <w:r w:rsidRPr="001B1C7A">
        <w:rPr>
          <w:rFonts w:ascii="Garamond" w:hAnsi="Garamond"/>
          <w:color w:val="000000" w:themeColor="text1"/>
        </w:rPr>
        <w:t xml:space="preserve">Bristol put the </w:t>
      </w:r>
      <w:r w:rsidR="00C6532D">
        <w:rPr>
          <w:rFonts w:ascii="Garamond" w:hAnsi="Garamond"/>
          <w:color w:val="000000" w:themeColor="text1"/>
        </w:rPr>
        <w:t>K.C.C.</w:t>
      </w:r>
      <w:r w:rsidRPr="001B1C7A">
        <w:rPr>
          <w:rFonts w:ascii="Garamond" w:hAnsi="Garamond"/>
          <w:color w:val="000000" w:themeColor="text1"/>
        </w:rPr>
        <w:t xml:space="preserve"> in contact with Dr. Mary Mills Patrick, the President of Constantinople </w:t>
      </w:r>
      <w:r w:rsidR="00A833A7">
        <w:rPr>
          <w:rFonts w:ascii="Garamond" w:hAnsi="Garamond"/>
          <w:color w:val="000000" w:themeColor="text1"/>
        </w:rPr>
        <w:t>W</w:t>
      </w:r>
      <w:r w:rsidRPr="001B1C7A">
        <w:rPr>
          <w:rFonts w:ascii="Garamond" w:hAnsi="Garamond"/>
          <w:color w:val="000000" w:themeColor="text1"/>
        </w:rPr>
        <w:t xml:space="preserve">omen’s </w:t>
      </w:r>
      <w:r w:rsidR="00A833A7">
        <w:rPr>
          <w:rFonts w:ascii="Garamond" w:hAnsi="Garamond"/>
          <w:color w:val="000000" w:themeColor="text1"/>
        </w:rPr>
        <w:t>C</w:t>
      </w:r>
      <w:r w:rsidRPr="001B1C7A">
        <w:rPr>
          <w:rFonts w:ascii="Garamond" w:hAnsi="Garamond"/>
          <w:color w:val="000000" w:themeColor="text1"/>
        </w:rPr>
        <w:t>ollege. Lybyer writes in his diary on June 5</w:t>
      </w:r>
      <w:r w:rsidR="00B97443">
        <w:rPr>
          <w:rFonts w:ascii="Garamond" w:hAnsi="Garamond"/>
          <w:color w:val="000000" w:themeColor="text1"/>
        </w:rPr>
        <w:t>,</w:t>
      </w:r>
      <w:r w:rsidRPr="001B1C7A">
        <w:rPr>
          <w:rFonts w:ascii="Garamond" w:hAnsi="Garamond"/>
          <w:color w:val="000000" w:themeColor="text1"/>
        </w:rPr>
        <w:t xml:space="preserve"> “Talk w. Dr. Patrick.  Anti-Greek, pro – Turk.”</w:t>
      </w:r>
      <w:r w:rsidRPr="001B1C7A">
        <w:rPr>
          <w:rStyle w:val="FootnoteReference"/>
          <w:rFonts w:ascii="Garamond" w:hAnsi="Garamond"/>
          <w:color w:val="000000" w:themeColor="text1"/>
        </w:rPr>
        <w:footnoteReference w:id="168"/>
      </w:r>
      <w:r w:rsidRPr="001B1C7A">
        <w:rPr>
          <w:rFonts w:ascii="Garamond" w:hAnsi="Garamond"/>
          <w:color w:val="000000" w:themeColor="text1"/>
        </w:rPr>
        <w:t xml:space="preserve"> This discussion may not have proved consequential but, </w:t>
      </w:r>
      <w:r w:rsidR="00A833A7">
        <w:rPr>
          <w:rFonts w:ascii="Garamond" w:hAnsi="Garamond"/>
          <w:color w:val="000000" w:themeColor="text1"/>
        </w:rPr>
        <w:t>in mid - August</w:t>
      </w:r>
      <w:r w:rsidRPr="001B1C7A">
        <w:rPr>
          <w:rFonts w:ascii="Garamond" w:hAnsi="Garamond"/>
          <w:color w:val="000000" w:themeColor="text1"/>
        </w:rPr>
        <w:t>, Dr. Patrick submit</w:t>
      </w:r>
      <w:r w:rsidR="00A833A7">
        <w:rPr>
          <w:rFonts w:ascii="Garamond" w:hAnsi="Garamond"/>
          <w:color w:val="000000" w:themeColor="text1"/>
        </w:rPr>
        <w:t xml:space="preserve">ted </w:t>
      </w:r>
      <w:r w:rsidRPr="001B1C7A">
        <w:rPr>
          <w:rFonts w:ascii="Garamond" w:hAnsi="Garamond"/>
          <w:color w:val="000000" w:themeColor="text1"/>
        </w:rPr>
        <w:t xml:space="preserve">a document to the </w:t>
      </w:r>
      <w:r w:rsidR="00C6532D">
        <w:rPr>
          <w:rFonts w:ascii="Garamond" w:hAnsi="Garamond"/>
          <w:color w:val="000000" w:themeColor="text1"/>
        </w:rPr>
        <w:t>K.C.C.</w:t>
      </w:r>
      <w:r w:rsidRPr="001B1C7A">
        <w:rPr>
          <w:rFonts w:ascii="Garamond" w:hAnsi="Garamond"/>
          <w:color w:val="000000" w:themeColor="text1"/>
        </w:rPr>
        <w:t xml:space="preserve"> </w:t>
      </w:r>
      <w:r w:rsidR="00A833A7">
        <w:rPr>
          <w:rFonts w:ascii="Garamond" w:hAnsi="Garamond"/>
          <w:color w:val="000000" w:themeColor="text1"/>
        </w:rPr>
        <w:t xml:space="preserve">comprised of fourteen reasons for why the United States should have taken a mandate over Turkey. </w:t>
      </w:r>
      <w:r w:rsidRPr="001B1C7A">
        <w:rPr>
          <w:rFonts w:ascii="Garamond" w:hAnsi="Garamond"/>
          <w:color w:val="000000" w:themeColor="text1"/>
        </w:rPr>
        <w:t xml:space="preserve">Point </w:t>
      </w:r>
      <w:r w:rsidR="00A833A7">
        <w:rPr>
          <w:rFonts w:ascii="Garamond" w:hAnsi="Garamond"/>
          <w:color w:val="000000" w:themeColor="text1"/>
        </w:rPr>
        <w:t>thirteen</w:t>
      </w:r>
      <w:r w:rsidRPr="001B1C7A">
        <w:rPr>
          <w:rFonts w:ascii="Garamond" w:hAnsi="Garamond"/>
          <w:color w:val="000000" w:themeColor="text1"/>
        </w:rPr>
        <w:t xml:space="preserve"> states “close commercial relations between America and Turkey would enable Turkey to develop her own wealth and profit from American exports, while the valuable imports from Turkey would be a source of profit in America.”</w:t>
      </w:r>
      <w:r w:rsidRPr="001B1C7A">
        <w:rPr>
          <w:rStyle w:val="FootnoteReference"/>
          <w:rFonts w:ascii="Garamond" w:hAnsi="Garamond"/>
          <w:color w:val="000000" w:themeColor="text1"/>
        </w:rPr>
        <w:footnoteReference w:id="169"/>
      </w:r>
      <w:r w:rsidRPr="001B1C7A">
        <w:rPr>
          <w:rFonts w:ascii="Garamond" w:hAnsi="Garamond"/>
          <w:color w:val="000000" w:themeColor="text1"/>
        </w:rPr>
        <w:t xml:space="preserve"> </w:t>
      </w:r>
      <w:r w:rsidR="00E554C0">
        <w:rPr>
          <w:rFonts w:ascii="Garamond" w:hAnsi="Garamond"/>
          <w:color w:val="000000" w:themeColor="text1"/>
        </w:rPr>
        <w:t xml:space="preserve">This is what the Europeans did not want. </w:t>
      </w:r>
      <w:r w:rsidRPr="001B1C7A">
        <w:rPr>
          <w:rFonts w:ascii="Garamond" w:hAnsi="Garamond"/>
          <w:color w:val="000000" w:themeColor="text1"/>
        </w:rPr>
        <w:t>As feared by Picot, a U.S. mandate over Turkey would further involve the Americans in the legality of the Mesopotamia</w:t>
      </w:r>
      <w:r w:rsidR="004D4B15">
        <w:rPr>
          <w:rFonts w:ascii="Garamond" w:hAnsi="Garamond"/>
          <w:color w:val="000000" w:themeColor="text1"/>
        </w:rPr>
        <w:t>n</w:t>
      </w:r>
      <w:r w:rsidRPr="001B1C7A">
        <w:rPr>
          <w:rFonts w:ascii="Garamond" w:hAnsi="Garamond"/>
          <w:color w:val="000000" w:themeColor="text1"/>
        </w:rPr>
        <w:t xml:space="preserve"> T.P.C. concession</w:t>
      </w:r>
      <w:r w:rsidR="00E554C0">
        <w:rPr>
          <w:rFonts w:ascii="Garamond" w:hAnsi="Garamond"/>
          <w:color w:val="000000" w:themeColor="text1"/>
        </w:rPr>
        <w:t xml:space="preserve"> – and its oil</w:t>
      </w:r>
      <w:r w:rsidR="00BD509C">
        <w:rPr>
          <w:rFonts w:ascii="Garamond" w:hAnsi="Garamond"/>
          <w:color w:val="000000" w:themeColor="text1"/>
        </w:rPr>
        <w:t>.</w:t>
      </w:r>
      <w:r w:rsidR="00B97443">
        <w:rPr>
          <w:rFonts w:ascii="Garamond" w:hAnsi="Garamond"/>
          <w:color w:val="000000" w:themeColor="text1"/>
        </w:rPr>
        <w:t xml:space="preserve"> </w:t>
      </w:r>
      <w:r w:rsidRPr="001B1C7A">
        <w:rPr>
          <w:rFonts w:ascii="Garamond" w:hAnsi="Garamond"/>
          <w:color w:val="000000" w:themeColor="text1"/>
        </w:rPr>
        <w:t>The K</w:t>
      </w:r>
      <w:r w:rsidR="00E554C0">
        <w:rPr>
          <w:rFonts w:ascii="Garamond" w:hAnsi="Garamond"/>
          <w:color w:val="000000" w:themeColor="text1"/>
        </w:rPr>
        <w:t>.</w:t>
      </w:r>
      <w:r w:rsidRPr="001B1C7A">
        <w:rPr>
          <w:rFonts w:ascii="Garamond" w:hAnsi="Garamond"/>
          <w:color w:val="000000" w:themeColor="text1"/>
        </w:rPr>
        <w:t>C</w:t>
      </w:r>
      <w:r w:rsidR="00E554C0">
        <w:rPr>
          <w:rFonts w:ascii="Garamond" w:hAnsi="Garamond"/>
          <w:color w:val="000000" w:themeColor="text1"/>
        </w:rPr>
        <w:t>.</w:t>
      </w:r>
      <w:r w:rsidRPr="001B1C7A">
        <w:rPr>
          <w:rFonts w:ascii="Garamond" w:hAnsi="Garamond"/>
          <w:color w:val="000000" w:themeColor="text1"/>
        </w:rPr>
        <w:t>C</w:t>
      </w:r>
      <w:r w:rsidR="00E554C0">
        <w:rPr>
          <w:rFonts w:ascii="Garamond" w:hAnsi="Garamond"/>
          <w:color w:val="000000" w:themeColor="text1"/>
        </w:rPr>
        <w:t>.</w:t>
      </w:r>
      <w:r w:rsidRPr="001B1C7A">
        <w:rPr>
          <w:rFonts w:ascii="Garamond" w:hAnsi="Garamond"/>
          <w:color w:val="000000" w:themeColor="text1"/>
        </w:rPr>
        <w:t xml:space="preserve"> </w:t>
      </w:r>
      <w:r w:rsidR="00E554C0">
        <w:rPr>
          <w:rFonts w:ascii="Garamond" w:hAnsi="Garamond"/>
          <w:color w:val="000000" w:themeColor="text1"/>
        </w:rPr>
        <w:t>eventually recommended</w:t>
      </w:r>
      <w:r w:rsidRPr="001B1C7A">
        <w:rPr>
          <w:rFonts w:ascii="Garamond" w:hAnsi="Garamond"/>
          <w:color w:val="000000" w:themeColor="text1"/>
        </w:rPr>
        <w:t xml:space="preserve"> an American mandate for Constantinople. </w:t>
      </w:r>
    </w:p>
    <w:p w14:paraId="4F3FA21E" w14:textId="0A5BA60C" w:rsidR="0030323A" w:rsidRPr="001B1C7A" w:rsidRDefault="0031665B" w:rsidP="0030323A">
      <w:pPr>
        <w:spacing w:line="480" w:lineRule="auto"/>
        <w:ind w:firstLine="360"/>
        <w:rPr>
          <w:rFonts w:ascii="Garamond" w:hAnsi="Garamond"/>
          <w:color w:val="000000" w:themeColor="text1"/>
        </w:rPr>
      </w:pPr>
      <w:r>
        <w:rPr>
          <w:rFonts w:ascii="Garamond" w:hAnsi="Garamond"/>
          <w:color w:val="000000" w:themeColor="text1"/>
        </w:rPr>
        <w:t xml:space="preserve">The extent of Thomas’s relationship with Bristol </w:t>
      </w:r>
      <w:r w:rsidR="0030323A" w:rsidRPr="001B1C7A">
        <w:rPr>
          <w:rFonts w:ascii="Garamond" w:hAnsi="Garamond"/>
          <w:color w:val="000000" w:themeColor="text1"/>
        </w:rPr>
        <w:t xml:space="preserve">shows that his efforts with the </w:t>
      </w:r>
      <w:r w:rsidR="00C6532D">
        <w:rPr>
          <w:rFonts w:ascii="Garamond" w:hAnsi="Garamond"/>
          <w:color w:val="000000" w:themeColor="text1"/>
        </w:rPr>
        <w:t>K.C.C.</w:t>
      </w:r>
      <w:r w:rsidR="0030323A" w:rsidRPr="001B1C7A">
        <w:rPr>
          <w:rFonts w:ascii="Garamond" w:hAnsi="Garamond"/>
          <w:color w:val="000000" w:themeColor="text1"/>
        </w:rPr>
        <w:t xml:space="preserve"> were not a cavalier attempt to solicit help while on a boat. </w:t>
      </w:r>
      <w:r w:rsidR="004D4B15">
        <w:rPr>
          <w:rFonts w:ascii="Garamond" w:hAnsi="Garamond"/>
          <w:color w:val="000000" w:themeColor="text1"/>
        </w:rPr>
        <w:t>Instead</w:t>
      </w:r>
      <w:r w:rsidR="0030323A" w:rsidRPr="001B1C7A">
        <w:rPr>
          <w:rFonts w:ascii="Garamond" w:hAnsi="Garamond"/>
          <w:color w:val="000000" w:themeColor="text1"/>
        </w:rPr>
        <w:t xml:space="preserve">, they fit into an overarching effort by a private oil company to advance the principle of the </w:t>
      </w:r>
      <w:r w:rsidR="00C6532D">
        <w:rPr>
          <w:rFonts w:ascii="Garamond" w:hAnsi="Garamond"/>
          <w:color w:val="000000" w:themeColor="text1"/>
        </w:rPr>
        <w:t>Open Door</w:t>
      </w:r>
      <w:r w:rsidR="0030323A" w:rsidRPr="001B1C7A">
        <w:rPr>
          <w:rFonts w:ascii="Garamond" w:hAnsi="Garamond"/>
          <w:color w:val="000000" w:themeColor="text1"/>
        </w:rPr>
        <w:t xml:space="preserve"> in the Middle East. Thomas most </w:t>
      </w:r>
      <w:r w:rsidR="0030323A" w:rsidRPr="001B1C7A">
        <w:rPr>
          <w:rFonts w:ascii="Garamond" w:hAnsi="Garamond"/>
          <w:color w:val="000000" w:themeColor="text1"/>
        </w:rPr>
        <w:lastRenderedPageBreak/>
        <w:t xml:space="preserve">likely used his network with Bristol to achieve such close access to the </w:t>
      </w:r>
      <w:r w:rsidR="00C6532D">
        <w:rPr>
          <w:rFonts w:ascii="Garamond" w:hAnsi="Garamond"/>
          <w:color w:val="000000" w:themeColor="text1"/>
        </w:rPr>
        <w:t>K.C.C</w:t>
      </w:r>
      <w:r w:rsidR="0030323A" w:rsidRPr="001B1C7A">
        <w:rPr>
          <w:rFonts w:ascii="Garamond" w:hAnsi="Garamond"/>
          <w:color w:val="000000" w:themeColor="text1"/>
        </w:rPr>
        <w:t>. After all, Thomas only</w:t>
      </w:r>
      <w:r w:rsidR="00A833A7">
        <w:rPr>
          <w:rFonts w:ascii="Garamond" w:hAnsi="Garamond"/>
          <w:color w:val="000000" w:themeColor="text1"/>
        </w:rPr>
        <w:t xml:space="preserve"> </w:t>
      </w:r>
      <w:r w:rsidR="0030323A" w:rsidRPr="001B1C7A">
        <w:rPr>
          <w:rFonts w:ascii="Garamond" w:hAnsi="Garamond"/>
          <w:color w:val="000000" w:themeColor="text1"/>
        </w:rPr>
        <w:t>appear</w:t>
      </w:r>
      <w:r w:rsidR="004D795E">
        <w:rPr>
          <w:rFonts w:ascii="Garamond" w:hAnsi="Garamond"/>
          <w:color w:val="000000" w:themeColor="text1"/>
        </w:rPr>
        <w:t>ed</w:t>
      </w:r>
      <w:r w:rsidR="0030323A" w:rsidRPr="001B1C7A">
        <w:rPr>
          <w:rFonts w:ascii="Garamond" w:hAnsi="Garamond"/>
          <w:color w:val="000000" w:themeColor="text1"/>
        </w:rPr>
        <w:t xml:space="preserve"> on ships commanded by Bristol or in Bristol’s area of influence. Thomas, consequently, used his connection with Bristol to both reach the </w:t>
      </w:r>
      <w:r w:rsidR="00C6532D">
        <w:rPr>
          <w:rFonts w:ascii="Garamond" w:hAnsi="Garamond"/>
          <w:color w:val="000000" w:themeColor="text1"/>
        </w:rPr>
        <w:t>K.C.C.</w:t>
      </w:r>
      <w:r w:rsidR="0030323A" w:rsidRPr="001B1C7A">
        <w:rPr>
          <w:rFonts w:ascii="Garamond" w:hAnsi="Garamond"/>
          <w:color w:val="000000" w:themeColor="text1"/>
        </w:rPr>
        <w:t xml:space="preserve"> and incline the </w:t>
      </w:r>
      <w:r w:rsidR="00C6532D">
        <w:rPr>
          <w:rFonts w:ascii="Garamond" w:hAnsi="Garamond"/>
          <w:color w:val="000000" w:themeColor="text1"/>
        </w:rPr>
        <w:t>K.C.C.</w:t>
      </w:r>
      <w:r w:rsidR="0030323A" w:rsidRPr="001B1C7A">
        <w:rPr>
          <w:rFonts w:ascii="Garamond" w:hAnsi="Garamond"/>
          <w:color w:val="000000" w:themeColor="text1"/>
        </w:rPr>
        <w:t xml:space="preserve"> towards supporting principles of the </w:t>
      </w:r>
      <w:r w:rsidR="00C6532D">
        <w:rPr>
          <w:rFonts w:ascii="Garamond" w:hAnsi="Garamond"/>
          <w:color w:val="000000" w:themeColor="text1"/>
        </w:rPr>
        <w:t>Open Door</w:t>
      </w:r>
      <w:r w:rsidR="0030323A" w:rsidRPr="001B1C7A">
        <w:rPr>
          <w:rFonts w:ascii="Garamond" w:hAnsi="Garamond"/>
          <w:color w:val="000000" w:themeColor="text1"/>
        </w:rPr>
        <w:t xml:space="preserve"> in the Middle East. </w:t>
      </w:r>
      <w:r w:rsidR="001B2C33">
        <w:rPr>
          <w:rFonts w:ascii="Garamond" w:hAnsi="Garamond"/>
          <w:color w:val="000000" w:themeColor="text1"/>
        </w:rPr>
        <w:t xml:space="preserve">However, members on the K.C.C, specifically Yale, inclined towards the Open Door for reasons of national security, not directly because of Thomas’s lobbying. </w:t>
      </w:r>
    </w:p>
    <w:p w14:paraId="573B3F40" w14:textId="77777777" w:rsidR="0030323A" w:rsidRDefault="0030323A" w:rsidP="0030323A">
      <w:pPr>
        <w:pStyle w:val="Heading3"/>
        <w:numPr>
          <w:ilvl w:val="0"/>
          <w:numId w:val="37"/>
        </w:numPr>
        <w:rPr>
          <w:rFonts w:ascii="Garamond" w:hAnsi="Garamond"/>
          <w:color w:val="000000" w:themeColor="text1"/>
        </w:rPr>
      </w:pPr>
      <w:bookmarkStart w:id="53" w:name="_Toc66731804"/>
      <w:r w:rsidRPr="004F63F7">
        <w:rPr>
          <w:rFonts w:ascii="Garamond" w:hAnsi="Garamond"/>
          <w:color w:val="000000" w:themeColor="text1"/>
        </w:rPr>
        <w:t>SOCONY, The State Department, and Yale</w:t>
      </w:r>
      <w:bookmarkEnd w:id="53"/>
    </w:p>
    <w:p w14:paraId="16F658BD" w14:textId="77777777" w:rsidR="0030323A" w:rsidRPr="004F63F7" w:rsidRDefault="0030323A" w:rsidP="0030323A"/>
    <w:p w14:paraId="03B70003" w14:textId="28F44BD9"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SOCONY was not completely averse to U.S. government involvement. On March 18, 1919, SOCONY sent a letter to the Acting Secretary of State William Phillips detailing a British effort to interfere with SOCONY’s claims in Palestine. This letter contai</w:t>
      </w:r>
      <w:r w:rsidR="00C14918">
        <w:rPr>
          <w:rFonts w:ascii="Garamond" w:hAnsi="Garamond"/>
          <w:color w:val="000000" w:themeColor="text1"/>
        </w:rPr>
        <w:t>ned</w:t>
      </w:r>
      <w:r w:rsidRPr="001B1C7A">
        <w:rPr>
          <w:rFonts w:ascii="Garamond" w:hAnsi="Garamond"/>
          <w:color w:val="000000" w:themeColor="text1"/>
        </w:rPr>
        <w:t xml:space="preserve"> an account written by a Palestinian, Ismail El – Husseini, with whom SOCONY “entered an agreement in May, 1914, to develop certain </w:t>
      </w:r>
      <w:r w:rsidR="00565707" w:rsidRPr="001B1C7A">
        <w:rPr>
          <w:rFonts w:ascii="Garamond" w:hAnsi="Garamond"/>
          <w:color w:val="000000" w:themeColor="text1"/>
        </w:rPr>
        <w:t>oil-bearing</w:t>
      </w:r>
      <w:r w:rsidRPr="001B1C7A">
        <w:rPr>
          <w:rFonts w:ascii="Garamond" w:hAnsi="Garamond"/>
          <w:color w:val="000000" w:themeColor="text1"/>
        </w:rPr>
        <w:t xml:space="preserve"> provinces in Jerusalem.”</w:t>
      </w:r>
      <w:r w:rsidRPr="001B1C7A">
        <w:rPr>
          <w:rStyle w:val="FootnoteReference"/>
          <w:rFonts w:ascii="Garamond" w:hAnsi="Garamond"/>
          <w:color w:val="000000" w:themeColor="text1"/>
        </w:rPr>
        <w:footnoteReference w:id="170"/>
      </w:r>
      <w:r w:rsidRPr="001B1C7A">
        <w:rPr>
          <w:rFonts w:ascii="Garamond" w:hAnsi="Garamond"/>
          <w:color w:val="000000" w:themeColor="text1"/>
        </w:rPr>
        <w:t xml:space="preserve"> In El – Husseini’s account, the British forced the Palestinians to show them the seven</w:t>
      </w:r>
      <w:r w:rsidR="004D795E">
        <w:rPr>
          <w:rFonts w:ascii="Garamond" w:hAnsi="Garamond"/>
          <w:color w:val="000000" w:themeColor="text1"/>
        </w:rPr>
        <w:t>-</w:t>
      </w:r>
      <w:r w:rsidRPr="001B1C7A">
        <w:rPr>
          <w:rFonts w:ascii="Garamond" w:hAnsi="Garamond"/>
          <w:color w:val="000000" w:themeColor="text1"/>
        </w:rPr>
        <w:t xml:space="preserve">concession plans in </w:t>
      </w:r>
      <w:r w:rsidR="00DC77E1">
        <w:rPr>
          <w:rFonts w:ascii="Garamond" w:hAnsi="Garamond"/>
          <w:color w:val="000000" w:themeColor="text1"/>
        </w:rPr>
        <w:t>SOCONY’s</w:t>
      </w:r>
      <w:r w:rsidRPr="001B1C7A">
        <w:rPr>
          <w:rFonts w:ascii="Garamond" w:hAnsi="Garamond"/>
          <w:color w:val="000000" w:themeColor="text1"/>
        </w:rPr>
        <w:t xml:space="preserve"> possession. SOCONY sent this story to the Phillips because </w:t>
      </w:r>
      <w:r w:rsidR="005A44FB">
        <w:rPr>
          <w:rFonts w:ascii="Garamond" w:hAnsi="Garamond"/>
          <w:color w:val="000000" w:themeColor="text1"/>
        </w:rPr>
        <w:t>it</w:t>
      </w:r>
      <w:r w:rsidR="005A44FB" w:rsidRPr="001B1C7A">
        <w:rPr>
          <w:rFonts w:ascii="Garamond" w:hAnsi="Garamond"/>
          <w:color w:val="000000" w:themeColor="text1"/>
        </w:rPr>
        <w:t xml:space="preserve"> </w:t>
      </w:r>
      <w:r w:rsidRPr="001B1C7A">
        <w:rPr>
          <w:rFonts w:ascii="Garamond" w:hAnsi="Garamond"/>
          <w:color w:val="000000" w:themeColor="text1"/>
        </w:rPr>
        <w:t xml:space="preserve">wanted to impress upon him the magnitude of British interference in the Levant and expected Phillips’ help. </w:t>
      </w:r>
      <w:r w:rsidR="00C14918">
        <w:rPr>
          <w:rFonts w:ascii="Garamond" w:hAnsi="Garamond"/>
          <w:color w:val="000000" w:themeColor="text1"/>
        </w:rPr>
        <w:t>Yale commented on Husseini’s claims</w:t>
      </w:r>
      <w:r w:rsidRPr="001B1C7A">
        <w:rPr>
          <w:rFonts w:ascii="Garamond" w:hAnsi="Garamond"/>
          <w:color w:val="000000" w:themeColor="text1"/>
        </w:rPr>
        <w:t xml:space="preserve">: </w:t>
      </w:r>
    </w:p>
    <w:p w14:paraId="1E883328" w14:textId="490F3190" w:rsidR="0030323A" w:rsidRDefault="0030323A" w:rsidP="0031665B">
      <w:pPr>
        <w:ind w:firstLine="720"/>
        <w:rPr>
          <w:rFonts w:ascii="Garamond" w:hAnsi="Garamond"/>
          <w:color w:val="000000" w:themeColor="text1"/>
          <w:shd w:val="clear" w:color="auto" w:fill="FFFFFF"/>
        </w:rPr>
      </w:pPr>
      <w:r w:rsidRPr="001B1C7A">
        <w:rPr>
          <w:rFonts w:ascii="Garamond" w:hAnsi="Garamond"/>
          <w:color w:val="000000" w:themeColor="text1"/>
          <w:shd w:val="clear" w:color="auto" w:fill="FFFFFF"/>
        </w:rPr>
        <w:t>There is one thing that I can very plainly say, that is, that by every means possible British will prevent any American Petroleum Company from operating or producing in any territory which they may retain after the war. They did everything possible to find our claims in Palestine and finally when they were unsuccessful, they forced Ismail Bey to produce all the plans of the various claims, which they proceeded to copy.</w:t>
      </w:r>
      <w:r w:rsidRPr="001B1C7A">
        <w:rPr>
          <w:rStyle w:val="FootnoteReference"/>
          <w:rFonts w:ascii="Garamond" w:hAnsi="Garamond"/>
          <w:color w:val="000000" w:themeColor="text1"/>
          <w:shd w:val="clear" w:color="auto" w:fill="FFFFFF"/>
        </w:rPr>
        <w:footnoteReference w:id="171"/>
      </w:r>
      <w:r w:rsidRPr="001B1C7A">
        <w:rPr>
          <w:rFonts w:ascii="Garamond" w:hAnsi="Garamond"/>
          <w:color w:val="000000" w:themeColor="text1"/>
          <w:shd w:val="clear" w:color="auto" w:fill="FFFFFF"/>
        </w:rPr>
        <w:t xml:space="preserve"> </w:t>
      </w:r>
    </w:p>
    <w:p w14:paraId="3BCC70CC" w14:textId="77777777" w:rsidR="0031665B" w:rsidRPr="001B1C7A" w:rsidRDefault="0031665B" w:rsidP="0031665B">
      <w:pPr>
        <w:ind w:firstLine="720"/>
        <w:rPr>
          <w:rFonts w:ascii="Garamond" w:hAnsi="Garamond"/>
          <w:color w:val="000000" w:themeColor="text1"/>
          <w:shd w:val="clear" w:color="auto" w:fill="FFFFFF"/>
        </w:rPr>
      </w:pPr>
    </w:p>
    <w:p w14:paraId="6A1F449E" w14:textId="4012A3D0" w:rsidR="0030323A" w:rsidRPr="001B1C7A" w:rsidRDefault="00C14918" w:rsidP="0030323A">
      <w:pPr>
        <w:spacing w:line="480" w:lineRule="auto"/>
        <w:ind w:firstLine="720"/>
        <w:rPr>
          <w:rFonts w:ascii="Garamond" w:hAnsi="Garamond"/>
          <w:color w:val="000000" w:themeColor="text1"/>
          <w:shd w:val="clear" w:color="auto" w:fill="FFFFFF"/>
        </w:rPr>
      </w:pPr>
      <w:r>
        <w:rPr>
          <w:rFonts w:ascii="Garamond" w:hAnsi="Garamond"/>
          <w:color w:val="000000" w:themeColor="text1"/>
          <w:shd w:val="clear" w:color="auto" w:fill="FFFFFF"/>
        </w:rPr>
        <w:t>A</w:t>
      </w:r>
      <w:r w:rsidR="0030323A" w:rsidRPr="001B1C7A">
        <w:rPr>
          <w:rFonts w:ascii="Garamond" w:hAnsi="Garamond"/>
          <w:color w:val="000000" w:themeColor="text1"/>
          <w:shd w:val="clear" w:color="auto" w:fill="FFFFFF"/>
        </w:rPr>
        <w:t xml:space="preserve">s of March 1919, </w:t>
      </w:r>
      <w:r>
        <w:rPr>
          <w:rFonts w:ascii="Garamond" w:hAnsi="Garamond"/>
          <w:color w:val="000000" w:themeColor="text1"/>
          <w:shd w:val="clear" w:color="auto" w:fill="FFFFFF"/>
        </w:rPr>
        <w:t>Yale</w:t>
      </w:r>
      <w:r w:rsidR="0030323A" w:rsidRPr="001B1C7A">
        <w:rPr>
          <w:rFonts w:ascii="Garamond" w:hAnsi="Garamond"/>
          <w:color w:val="000000" w:themeColor="text1"/>
          <w:shd w:val="clear" w:color="auto" w:fill="FFFFFF"/>
        </w:rPr>
        <w:t xml:space="preserve"> remained in touch with the upper echelons of SOCONY</w:t>
      </w:r>
      <w:r>
        <w:rPr>
          <w:rFonts w:ascii="Garamond" w:hAnsi="Garamond"/>
          <w:color w:val="000000" w:themeColor="text1"/>
          <w:shd w:val="clear" w:color="auto" w:fill="FFFFFF"/>
        </w:rPr>
        <w:t>, who appraised him</w:t>
      </w:r>
      <w:r w:rsidRPr="001B1C7A">
        <w:rPr>
          <w:rFonts w:ascii="Garamond" w:hAnsi="Garamond"/>
          <w:color w:val="000000" w:themeColor="text1"/>
          <w:shd w:val="clear" w:color="auto" w:fill="FFFFFF"/>
        </w:rPr>
        <w:t xml:space="preserve"> of</w:t>
      </w:r>
      <w:r w:rsidR="0030323A" w:rsidRPr="001B1C7A">
        <w:rPr>
          <w:rFonts w:ascii="Garamond" w:hAnsi="Garamond"/>
          <w:color w:val="000000" w:themeColor="text1"/>
          <w:shd w:val="clear" w:color="auto" w:fill="FFFFFF"/>
        </w:rPr>
        <w:t xml:space="preserve"> European exclusionary practices and </w:t>
      </w:r>
      <w:r>
        <w:rPr>
          <w:rFonts w:ascii="Garamond" w:hAnsi="Garamond"/>
          <w:color w:val="000000" w:themeColor="text1"/>
          <w:shd w:val="clear" w:color="auto" w:fill="FFFFFF"/>
        </w:rPr>
        <w:t>e</w:t>
      </w:r>
      <w:r w:rsidR="0030323A" w:rsidRPr="001B1C7A">
        <w:rPr>
          <w:rFonts w:ascii="Garamond" w:hAnsi="Garamond"/>
          <w:color w:val="000000" w:themeColor="text1"/>
          <w:shd w:val="clear" w:color="auto" w:fill="FFFFFF"/>
        </w:rPr>
        <w:t xml:space="preserve">licited </w:t>
      </w:r>
      <w:r>
        <w:rPr>
          <w:rFonts w:ascii="Garamond" w:hAnsi="Garamond"/>
          <w:color w:val="000000" w:themeColor="text1"/>
          <w:shd w:val="clear" w:color="auto" w:fill="FFFFFF"/>
        </w:rPr>
        <w:t>his comments</w:t>
      </w:r>
      <w:r w:rsidR="0030323A" w:rsidRPr="001B1C7A">
        <w:rPr>
          <w:rFonts w:ascii="Garamond" w:hAnsi="Garamond"/>
          <w:color w:val="000000" w:themeColor="text1"/>
          <w:shd w:val="clear" w:color="auto" w:fill="FFFFFF"/>
        </w:rPr>
        <w:t xml:space="preserve">. </w:t>
      </w:r>
      <w:r>
        <w:rPr>
          <w:rFonts w:ascii="Garamond" w:hAnsi="Garamond"/>
          <w:color w:val="000000" w:themeColor="text1"/>
          <w:shd w:val="clear" w:color="auto" w:fill="FFFFFF"/>
        </w:rPr>
        <w:t>These</w:t>
      </w:r>
      <w:r w:rsidR="0030323A" w:rsidRPr="001B1C7A">
        <w:rPr>
          <w:rFonts w:ascii="Garamond" w:hAnsi="Garamond"/>
          <w:color w:val="000000" w:themeColor="text1"/>
          <w:shd w:val="clear" w:color="auto" w:fill="FFFFFF"/>
        </w:rPr>
        <w:t xml:space="preserve"> comments reinforce his negative attitude</w:t>
      </w:r>
      <w:r>
        <w:rPr>
          <w:rFonts w:ascii="Garamond" w:hAnsi="Garamond"/>
          <w:color w:val="000000" w:themeColor="text1"/>
          <w:shd w:val="clear" w:color="auto" w:fill="FFFFFF"/>
        </w:rPr>
        <w:t xml:space="preserve"> </w:t>
      </w:r>
      <w:r w:rsidR="0030323A" w:rsidRPr="001B1C7A">
        <w:rPr>
          <w:rFonts w:ascii="Garamond" w:hAnsi="Garamond"/>
          <w:color w:val="000000" w:themeColor="text1"/>
          <w:shd w:val="clear" w:color="auto" w:fill="FFFFFF"/>
        </w:rPr>
        <w:t xml:space="preserve">towards </w:t>
      </w:r>
      <w:r>
        <w:rPr>
          <w:rFonts w:ascii="Garamond" w:hAnsi="Garamond"/>
          <w:color w:val="000000" w:themeColor="text1"/>
          <w:shd w:val="clear" w:color="auto" w:fill="FFFFFF"/>
        </w:rPr>
        <w:t xml:space="preserve">British </w:t>
      </w:r>
      <w:r w:rsidR="0030323A" w:rsidRPr="001B1C7A">
        <w:rPr>
          <w:rFonts w:ascii="Garamond" w:hAnsi="Garamond"/>
          <w:color w:val="000000" w:themeColor="text1"/>
          <w:shd w:val="clear" w:color="auto" w:fill="FFFFFF"/>
        </w:rPr>
        <w:t xml:space="preserve">conniving. SOCONY </w:t>
      </w:r>
      <w:r>
        <w:rPr>
          <w:rFonts w:ascii="Garamond" w:hAnsi="Garamond"/>
          <w:color w:val="000000" w:themeColor="text1"/>
          <w:shd w:val="clear" w:color="auto" w:fill="FFFFFF"/>
        </w:rPr>
        <w:t xml:space="preserve">then </w:t>
      </w:r>
      <w:r w:rsidR="0030323A" w:rsidRPr="001B1C7A">
        <w:rPr>
          <w:rFonts w:ascii="Garamond" w:hAnsi="Garamond"/>
          <w:color w:val="000000" w:themeColor="text1"/>
          <w:shd w:val="clear" w:color="auto" w:fill="FFFFFF"/>
        </w:rPr>
        <w:t xml:space="preserve">concludes </w:t>
      </w:r>
      <w:r w:rsidR="004D4B15">
        <w:rPr>
          <w:rFonts w:ascii="Garamond" w:hAnsi="Garamond"/>
          <w:color w:val="000000" w:themeColor="text1"/>
          <w:shd w:val="clear" w:color="auto" w:fill="FFFFFF"/>
        </w:rPr>
        <w:t>its</w:t>
      </w:r>
      <w:r w:rsidR="004D4B15" w:rsidRPr="001B1C7A">
        <w:rPr>
          <w:rFonts w:ascii="Garamond" w:hAnsi="Garamond"/>
          <w:color w:val="000000" w:themeColor="text1"/>
          <w:shd w:val="clear" w:color="auto" w:fill="FFFFFF"/>
        </w:rPr>
        <w:t xml:space="preserve"> </w:t>
      </w:r>
      <w:r w:rsidR="0030323A" w:rsidRPr="001B1C7A">
        <w:rPr>
          <w:rFonts w:ascii="Garamond" w:hAnsi="Garamond"/>
          <w:color w:val="000000" w:themeColor="text1"/>
          <w:shd w:val="clear" w:color="auto" w:fill="FFFFFF"/>
        </w:rPr>
        <w:t xml:space="preserve">letter to Phillips with “assuring you of our appreciation of whatever action you make take in this </w:t>
      </w:r>
      <w:r w:rsidR="0030323A" w:rsidRPr="001B1C7A">
        <w:rPr>
          <w:rFonts w:ascii="Garamond" w:hAnsi="Garamond"/>
          <w:color w:val="000000" w:themeColor="text1"/>
          <w:shd w:val="clear" w:color="auto" w:fill="FFFFFF"/>
        </w:rPr>
        <w:lastRenderedPageBreak/>
        <w:t>connection.”</w:t>
      </w:r>
      <w:r w:rsidR="0030323A" w:rsidRPr="001B1C7A">
        <w:rPr>
          <w:rStyle w:val="FootnoteReference"/>
          <w:rFonts w:ascii="Garamond" w:hAnsi="Garamond"/>
          <w:color w:val="000000" w:themeColor="text1"/>
          <w:shd w:val="clear" w:color="auto" w:fill="FFFFFF"/>
        </w:rPr>
        <w:footnoteReference w:id="172"/>
      </w:r>
      <w:r w:rsidR="0030323A" w:rsidRPr="001B1C7A">
        <w:rPr>
          <w:rFonts w:ascii="Garamond" w:hAnsi="Garamond"/>
          <w:color w:val="000000" w:themeColor="text1"/>
          <w:shd w:val="clear" w:color="auto" w:fill="FFFFFF"/>
        </w:rPr>
        <w:t xml:space="preserve"> This letter set off a chain of correspondence that shows the extent of Thomas’s efforts to influence thoughts about the </w:t>
      </w:r>
      <w:r w:rsidR="00C6532D">
        <w:rPr>
          <w:rFonts w:ascii="Garamond" w:hAnsi="Garamond"/>
          <w:color w:val="000000" w:themeColor="text1"/>
          <w:shd w:val="clear" w:color="auto" w:fill="FFFFFF"/>
        </w:rPr>
        <w:t>Open Door</w:t>
      </w:r>
      <w:r w:rsidR="0030323A" w:rsidRPr="001B1C7A">
        <w:rPr>
          <w:rFonts w:ascii="Garamond" w:hAnsi="Garamond"/>
          <w:color w:val="000000" w:themeColor="text1"/>
          <w:shd w:val="clear" w:color="auto" w:fill="FFFFFF"/>
        </w:rPr>
        <w:t xml:space="preserve"> and the position of significance Yale occupied</w:t>
      </w:r>
      <w:r>
        <w:rPr>
          <w:rFonts w:ascii="Garamond" w:hAnsi="Garamond"/>
          <w:color w:val="000000" w:themeColor="text1"/>
          <w:shd w:val="clear" w:color="auto" w:fill="FFFFFF"/>
        </w:rPr>
        <w:t xml:space="preserve">. </w:t>
      </w:r>
    </w:p>
    <w:p w14:paraId="7B5302D3" w14:textId="3AA04D51" w:rsidR="003078A5" w:rsidRDefault="0030323A" w:rsidP="003078A5">
      <w:pPr>
        <w:spacing w:line="480" w:lineRule="auto"/>
        <w:ind w:firstLine="360"/>
        <w:rPr>
          <w:rFonts w:ascii="Garamond" w:hAnsi="Garamond"/>
          <w:color w:val="000000" w:themeColor="text1"/>
          <w:shd w:val="clear" w:color="auto" w:fill="FFFFFF"/>
        </w:rPr>
      </w:pPr>
      <w:r w:rsidRPr="001B1C7A">
        <w:rPr>
          <w:rFonts w:ascii="Garamond" w:hAnsi="Garamond"/>
          <w:color w:val="000000" w:themeColor="text1"/>
          <w:shd w:val="clear" w:color="auto" w:fill="FFFFFF"/>
        </w:rPr>
        <w:t>After receiving this letter, Phillips promptly contacted the U.S. Ambassador to Britain John Davi</w:t>
      </w:r>
      <w:r w:rsidR="004F29A6">
        <w:rPr>
          <w:rFonts w:ascii="Garamond" w:hAnsi="Garamond"/>
          <w:color w:val="000000" w:themeColor="text1"/>
          <w:shd w:val="clear" w:color="auto" w:fill="FFFFFF"/>
        </w:rPr>
        <w:t>s</w:t>
      </w:r>
      <w:r w:rsidRPr="001B1C7A">
        <w:rPr>
          <w:rFonts w:ascii="Garamond" w:hAnsi="Garamond"/>
          <w:color w:val="000000" w:themeColor="text1"/>
          <w:shd w:val="clear" w:color="auto" w:fill="FFFFFF"/>
        </w:rPr>
        <w:t xml:space="preserve"> and asks him to “report the action of military authorities to the Foreign Office</w:t>
      </w:r>
      <w:r w:rsidR="004D4B15">
        <w:rPr>
          <w:rFonts w:ascii="Garamond" w:hAnsi="Garamond"/>
          <w:color w:val="000000" w:themeColor="text1"/>
          <w:shd w:val="clear" w:color="auto" w:fill="FFFFFF"/>
        </w:rPr>
        <w:t>.</w:t>
      </w:r>
      <w:r w:rsidRPr="001B1C7A">
        <w:rPr>
          <w:rFonts w:ascii="Garamond" w:hAnsi="Garamond"/>
          <w:color w:val="000000" w:themeColor="text1"/>
          <w:shd w:val="clear" w:color="auto" w:fill="FFFFFF"/>
        </w:rPr>
        <w:t>”</w:t>
      </w:r>
      <w:r w:rsidRPr="001B1C7A">
        <w:rPr>
          <w:rStyle w:val="FootnoteReference"/>
          <w:rFonts w:ascii="Garamond" w:hAnsi="Garamond"/>
          <w:color w:val="000000" w:themeColor="text1"/>
          <w:shd w:val="clear" w:color="auto" w:fill="FFFFFF"/>
        </w:rPr>
        <w:footnoteReference w:id="173"/>
      </w:r>
      <w:r w:rsidRPr="001B1C7A">
        <w:rPr>
          <w:rFonts w:ascii="Garamond" w:hAnsi="Garamond"/>
          <w:color w:val="000000" w:themeColor="text1"/>
          <w:shd w:val="clear" w:color="auto" w:fill="FFFFFF"/>
        </w:rPr>
        <w:t xml:space="preserve"> No further action </w:t>
      </w:r>
      <w:r w:rsidR="00515DA9" w:rsidRPr="001B1C7A">
        <w:rPr>
          <w:rFonts w:ascii="Garamond" w:hAnsi="Garamond"/>
          <w:color w:val="000000" w:themeColor="text1"/>
          <w:shd w:val="clear" w:color="auto" w:fill="FFFFFF"/>
        </w:rPr>
        <w:t>occur</w:t>
      </w:r>
      <w:r w:rsidR="00515DA9">
        <w:rPr>
          <w:rFonts w:ascii="Garamond" w:hAnsi="Garamond"/>
          <w:color w:val="000000" w:themeColor="text1"/>
          <w:shd w:val="clear" w:color="auto" w:fill="FFFFFF"/>
        </w:rPr>
        <w:t>red</w:t>
      </w:r>
      <w:r w:rsidRPr="001B1C7A">
        <w:rPr>
          <w:rFonts w:ascii="Garamond" w:hAnsi="Garamond"/>
          <w:color w:val="000000" w:themeColor="text1"/>
          <w:shd w:val="clear" w:color="auto" w:fill="FFFFFF"/>
        </w:rPr>
        <w:t xml:space="preserve"> until Phillips </w:t>
      </w:r>
      <w:r w:rsidR="004D4B15">
        <w:rPr>
          <w:rFonts w:ascii="Garamond" w:hAnsi="Garamond"/>
          <w:color w:val="000000" w:themeColor="text1"/>
          <w:shd w:val="clear" w:color="auto" w:fill="FFFFFF"/>
        </w:rPr>
        <w:t>sent</w:t>
      </w:r>
      <w:r w:rsidR="004D4B15" w:rsidRPr="001B1C7A">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 xml:space="preserve">a cable from Mark Requa on May 21, </w:t>
      </w:r>
      <w:r w:rsidR="004F29A6">
        <w:rPr>
          <w:rFonts w:ascii="Garamond" w:hAnsi="Garamond"/>
          <w:color w:val="000000" w:themeColor="text1"/>
          <w:shd w:val="clear" w:color="auto" w:fill="FFFFFF"/>
        </w:rPr>
        <w:t>head of the U.S. Fuel Administration</w:t>
      </w:r>
      <w:r w:rsidRPr="001B1C7A">
        <w:rPr>
          <w:rFonts w:ascii="Garamond" w:hAnsi="Garamond"/>
          <w:color w:val="000000" w:themeColor="text1"/>
          <w:shd w:val="clear" w:color="auto" w:fill="FFFFFF"/>
        </w:rPr>
        <w:t>, to the head of the American Commission to Negotiate Peace, Frank Polk.</w:t>
      </w:r>
      <w:r w:rsidRPr="001B1C7A">
        <w:rPr>
          <w:rStyle w:val="FootnoteReference"/>
          <w:rFonts w:ascii="Garamond" w:hAnsi="Garamond"/>
          <w:color w:val="000000" w:themeColor="text1"/>
          <w:shd w:val="clear" w:color="auto" w:fill="FFFFFF"/>
        </w:rPr>
        <w:footnoteReference w:id="174"/>
      </w:r>
      <w:r w:rsidRPr="001B1C7A">
        <w:rPr>
          <w:rFonts w:ascii="Garamond" w:hAnsi="Garamond"/>
          <w:color w:val="000000" w:themeColor="text1"/>
          <w:shd w:val="clear" w:color="auto" w:fill="FFFFFF"/>
        </w:rPr>
        <w:t xml:space="preserve"> Requa was a notable early voice that advocated for an aggressive U.S. oil policy.</w:t>
      </w:r>
      <w:r w:rsidRPr="001B1C7A">
        <w:rPr>
          <w:rStyle w:val="FootnoteReference"/>
          <w:rFonts w:ascii="Garamond" w:hAnsi="Garamond"/>
          <w:color w:val="000000" w:themeColor="text1"/>
          <w:shd w:val="clear" w:color="auto" w:fill="FFFFFF"/>
        </w:rPr>
        <w:footnoteReference w:id="175"/>
      </w:r>
      <w:r w:rsidRPr="001B1C7A">
        <w:rPr>
          <w:rFonts w:ascii="Garamond" w:hAnsi="Garamond"/>
          <w:color w:val="000000" w:themeColor="text1"/>
          <w:shd w:val="clear" w:color="auto" w:fill="FFFFFF"/>
        </w:rPr>
        <w:t xml:space="preserve"> In the cable, Requa writes “American oil interests are seriously considering examination of Mesopotamia and Palestine with a view of acquiring oil territory. Will such activities meet approval American government and will conditions of peace treaty be such as to permit American companies to enter that region under terms of equality…”</w:t>
      </w:r>
      <w:r w:rsidRPr="001B1C7A">
        <w:rPr>
          <w:rStyle w:val="FootnoteReference"/>
          <w:rFonts w:ascii="Garamond" w:hAnsi="Garamond"/>
          <w:color w:val="000000" w:themeColor="text1"/>
          <w:shd w:val="clear" w:color="auto" w:fill="FFFFFF"/>
        </w:rPr>
        <w:footnoteReference w:id="176"/>
      </w:r>
      <w:r w:rsidRPr="001B1C7A">
        <w:rPr>
          <w:rFonts w:ascii="Garamond" w:hAnsi="Garamond"/>
          <w:color w:val="000000" w:themeColor="text1"/>
          <w:shd w:val="clear" w:color="auto" w:fill="FFFFFF"/>
        </w:rPr>
        <w:t xml:space="preserve"> Requa, like many at the time, evoked the </w:t>
      </w:r>
      <w:r w:rsidR="00C6532D">
        <w:rPr>
          <w:rFonts w:ascii="Garamond" w:hAnsi="Garamond"/>
          <w:color w:val="000000" w:themeColor="text1"/>
          <w:shd w:val="clear" w:color="auto" w:fill="FFFFFF"/>
        </w:rPr>
        <w:t>Open Door</w:t>
      </w:r>
      <w:r w:rsidRPr="001B1C7A">
        <w:rPr>
          <w:rFonts w:ascii="Garamond" w:hAnsi="Garamond"/>
          <w:color w:val="000000" w:themeColor="text1"/>
          <w:shd w:val="clear" w:color="auto" w:fill="FFFFFF"/>
        </w:rPr>
        <w:t>. As Phillips referred this telegram to Polk, he wanted to see if diplomats in Europe could advance this principle. Requa concludes his telegram with “People having this matter under consideration are not connected in any way with Standard Oil group.”</w:t>
      </w:r>
      <w:r w:rsidRPr="001B1C7A">
        <w:rPr>
          <w:rStyle w:val="FootnoteReference"/>
          <w:rFonts w:ascii="Garamond" w:hAnsi="Garamond"/>
          <w:color w:val="000000" w:themeColor="text1"/>
          <w:shd w:val="clear" w:color="auto" w:fill="FFFFFF"/>
        </w:rPr>
        <w:footnoteReference w:id="177"/>
      </w:r>
      <w:r w:rsidRPr="001B1C7A">
        <w:rPr>
          <w:rFonts w:ascii="Garamond" w:hAnsi="Garamond"/>
          <w:color w:val="000000" w:themeColor="text1"/>
          <w:shd w:val="clear" w:color="auto" w:fill="FFFFFF"/>
        </w:rPr>
        <w:t xml:space="preserve"> Requa </w:t>
      </w:r>
      <w:r w:rsidR="009D3390">
        <w:rPr>
          <w:rFonts w:ascii="Garamond" w:hAnsi="Garamond"/>
          <w:color w:val="000000" w:themeColor="text1"/>
          <w:shd w:val="clear" w:color="auto" w:fill="FFFFFF"/>
        </w:rPr>
        <w:t xml:space="preserve">later </w:t>
      </w:r>
      <w:r w:rsidR="00B00E09">
        <w:rPr>
          <w:rFonts w:ascii="Garamond" w:hAnsi="Garamond"/>
          <w:color w:val="000000" w:themeColor="text1"/>
          <w:shd w:val="clear" w:color="auto" w:fill="FFFFFF"/>
        </w:rPr>
        <w:t>became</w:t>
      </w:r>
      <w:r w:rsidRPr="001B1C7A">
        <w:rPr>
          <w:rFonts w:ascii="Garamond" w:hAnsi="Garamond"/>
          <w:color w:val="000000" w:themeColor="text1"/>
          <w:shd w:val="clear" w:color="auto" w:fill="FFFFFF"/>
        </w:rPr>
        <w:t xml:space="preserve"> the vice president of Standard Oil. </w:t>
      </w:r>
    </w:p>
    <w:p w14:paraId="0C8EE680" w14:textId="7B602C87" w:rsidR="0030323A" w:rsidRPr="001B1C7A" w:rsidRDefault="0030323A" w:rsidP="003078A5">
      <w:pPr>
        <w:spacing w:line="480" w:lineRule="auto"/>
        <w:ind w:firstLine="360"/>
        <w:rPr>
          <w:rFonts w:ascii="Garamond" w:hAnsi="Garamond"/>
          <w:color w:val="000000" w:themeColor="text1"/>
          <w:shd w:val="clear" w:color="auto" w:fill="FFFFFF"/>
        </w:rPr>
      </w:pPr>
      <w:r w:rsidRPr="001B1C7A">
        <w:rPr>
          <w:rFonts w:ascii="Garamond" w:hAnsi="Garamond"/>
          <w:color w:val="000000" w:themeColor="text1"/>
          <w:shd w:val="clear" w:color="auto" w:fill="FFFFFF"/>
        </w:rPr>
        <w:t>On June 5, 1919, the Commission to Negotiate Peace respond</w:t>
      </w:r>
      <w:r w:rsidR="000A556A">
        <w:rPr>
          <w:rFonts w:ascii="Garamond" w:hAnsi="Garamond"/>
          <w:color w:val="000000" w:themeColor="text1"/>
          <w:shd w:val="clear" w:color="auto" w:fill="FFFFFF"/>
        </w:rPr>
        <w:t>s</w:t>
      </w:r>
      <w:r w:rsidRPr="001B1C7A">
        <w:rPr>
          <w:rFonts w:ascii="Garamond" w:hAnsi="Garamond"/>
          <w:color w:val="000000" w:themeColor="text1"/>
          <w:shd w:val="clear" w:color="auto" w:fill="FFFFFF"/>
        </w:rPr>
        <w:t xml:space="preserve"> to Requa’s telegram (that Phillips </w:t>
      </w:r>
      <w:r w:rsidR="0031665B" w:rsidRPr="001B1C7A">
        <w:rPr>
          <w:rFonts w:ascii="Garamond" w:hAnsi="Garamond"/>
          <w:color w:val="000000" w:themeColor="text1"/>
          <w:shd w:val="clear" w:color="auto" w:fill="FFFFFF"/>
        </w:rPr>
        <w:t xml:space="preserve">forwarded) </w:t>
      </w:r>
      <w:r w:rsidR="000A556A">
        <w:rPr>
          <w:rFonts w:ascii="Garamond" w:hAnsi="Garamond"/>
          <w:color w:val="000000" w:themeColor="text1"/>
          <w:shd w:val="clear" w:color="auto" w:fill="FFFFFF"/>
        </w:rPr>
        <w:t>and acknowledge</w:t>
      </w:r>
      <w:r w:rsidR="003078A5">
        <w:rPr>
          <w:rFonts w:ascii="Garamond" w:hAnsi="Garamond"/>
          <w:color w:val="000000" w:themeColor="text1"/>
          <w:shd w:val="clear" w:color="auto" w:fill="FFFFFF"/>
        </w:rPr>
        <w:t>s</w:t>
      </w:r>
      <w:r w:rsidR="000A556A">
        <w:rPr>
          <w:rFonts w:ascii="Garamond" w:hAnsi="Garamond"/>
          <w:color w:val="000000" w:themeColor="text1"/>
          <w:shd w:val="clear" w:color="auto" w:fill="FFFFFF"/>
        </w:rPr>
        <w:t xml:space="preserve"> that the K.C.C provided a unique lens into the Middle East</w:t>
      </w:r>
      <w:r w:rsidRPr="001B1C7A">
        <w:rPr>
          <w:rFonts w:ascii="Garamond" w:hAnsi="Garamond"/>
          <w:color w:val="000000" w:themeColor="text1"/>
          <w:shd w:val="clear" w:color="auto" w:fill="FFFFFF"/>
        </w:rPr>
        <w:t xml:space="preserve">: “Department is informed that Captain W. Yale attached to Crane King commission to turkey is familiar with oil business conditions in Palestine and Mesopotamia. If requested, Captain Yale would probably investigate the matter of oil concessions and the possibility of acquisition by American </w:t>
      </w:r>
      <w:r w:rsidRPr="001B1C7A">
        <w:rPr>
          <w:rFonts w:ascii="Garamond" w:hAnsi="Garamond"/>
          <w:color w:val="000000" w:themeColor="text1"/>
          <w:shd w:val="clear" w:color="auto" w:fill="FFFFFF"/>
        </w:rPr>
        <w:lastRenderedPageBreak/>
        <w:t>interests.”</w:t>
      </w:r>
      <w:r w:rsidRPr="001B1C7A">
        <w:rPr>
          <w:rStyle w:val="FootnoteReference"/>
          <w:rFonts w:ascii="Garamond" w:hAnsi="Garamond"/>
          <w:color w:val="000000" w:themeColor="text1"/>
          <w:shd w:val="clear" w:color="auto" w:fill="FFFFFF"/>
        </w:rPr>
        <w:footnoteReference w:id="178"/>
      </w:r>
      <w:r w:rsidRPr="001B1C7A">
        <w:rPr>
          <w:rFonts w:ascii="Garamond" w:hAnsi="Garamond"/>
          <w:color w:val="000000" w:themeColor="text1"/>
          <w:shd w:val="clear" w:color="auto" w:fill="FFFFFF"/>
        </w:rPr>
        <w:t xml:space="preserve"> Hitherto, Phillips was most likely aware of the K</w:t>
      </w:r>
      <w:r w:rsidR="00C064DD">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C064DD">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C064DD">
        <w:rPr>
          <w:rFonts w:ascii="Garamond" w:hAnsi="Garamond"/>
          <w:color w:val="000000" w:themeColor="text1"/>
          <w:shd w:val="clear" w:color="auto" w:fill="FFFFFF"/>
        </w:rPr>
        <w:t>.</w:t>
      </w:r>
      <w:r w:rsidRPr="001B1C7A">
        <w:rPr>
          <w:rFonts w:ascii="Garamond" w:hAnsi="Garamond"/>
          <w:color w:val="000000" w:themeColor="text1"/>
          <w:shd w:val="clear" w:color="auto" w:fill="FFFFFF"/>
        </w:rPr>
        <w:t>’s planned activities</w:t>
      </w:r>
      <w:r w:rsidR="004F29A6">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 xml:space="preserve">and Wilson had kept in touch with King and Crane. This telegram, however, shows that by June 5, while the </w:t>
      </w:r>
      <w:r w:rsidR="00C6532D">
        <w:rPr>
          <w:rFonts w:ascii="Garamond" w:hAnsi="Garamond"/>
          <w:color w:val="000000" w:themeColor="text1"/>
          <w:shd w:val="clear" w:color="auto" w:fill="FFFFFF"/>
        </w:rPr>
        <w:t>K.C.C.</w:t>
      </w:r>
      <w:r w:rsidRPr="001B1C7A">
        <w:rPr>
          <w:rFonts w:ascii="Garamond" w:hAnsi="Garamond"/>
          <w:color w:val="000000" w:themeColor="text1"/>
          <w:shd w:val="clear" w:color="auto" w:fill="FFFFFF"/>
        </w:rPr>
        <w:t xml:space="preserve"> were first meeting Thomas in Constantinople, the State Department </w:t>
      </w:r>
      <w:r w:rsidR="004F29A6">
        <w:rPr>
          <w:rFonts w:ascii="Garamond" w:hAnsi="Garamond"/>
          <w:color w:val="000000" w:themeColor="text1"/>
          <w:shd w:val="clear" w:color="auto" w:fill="FFFFFF"/>
        </w:rPr>
        <w:t>was discussing</w:t>
      </w:r>
      <w:r w:rsidR="004F29A6" w:rsidRPr="001B1C7A">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 xml:space="preserve">the possibility that Yale would advocate for oil interests while in the Levant </w:t>
      </w:r>
      <w:r w:rsidR="00DC77E1">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as a member of the K</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 Later on, Yale comment</w:t>
      </w:r>
      <w:r w:rsidR="004F29A6">
        <w:rPr>
          <w:rFonts w:ascii="Garamond" w:hAnsi="Garamond"/>
          <w:color w:val="000000" w:themeColor="text1"/>
          <w:shd w:val="clear" w:color="auto" w:fill="FFFFFF"/>
        </w:rPr>
        <w:t>ed</w:t>
      </w:r>
      <w:r w:rsidRPr="001B1C7A">
        <w:rPr>
          <w:rFonts w:ascii="Garamond" w:hAnsi="Garamond"/>
          <w:color w:val="000000" w:themeColor="text1"/>
          <w:shd w:val="clear" w:color="auto" w:fill="FFFFFF"/>
        </w:rPr>
        <w:t xml:space="preserve"> on intelligence reports and help</w:t>
      </w:r>
      <w:r w:rsidR="004F29A6">
        <w:rPr>
          <w:rFonts w:ascii="Garamond" w:hAnsi="Garamond"/>
          <w:color w:val="000000" w:themeColor="text1"/>
          <w:shd w:val="clear" w:color="auto" w:fill="FFFFFF"/>
        </w:rPr>
        <w:t>ed</w:t>
      </w:r>
      <w:r w:rsidRPr="001B1C7A">
        <w:rPr>
          <w:rFonts w:ascii="Garamond" w:hAnsi="Garamond"/>
          <w:color w:val="000000" w:themeColor="text1"/>
          <w:shd w:val="clear" w:color="auto" w:fill="FFFFFF"/>
        </w:rPr>
        <w:t xml:space="preserve"> the American Commission to Negotiate Peace decide if British claims about their soldiers’ activities are legitimate. </w:t>
      </w:r>
    </w:p>
    <w:p w14:paraId="612D7811" w14:textId="7D17DB45" w:rsidR="0030323A" w:rsidRDefault="0030323A" w:rsidP="0030323A">
      <w:pPr>
        <w:spacing w:line="480" w:lineRule="auto"/>
        <w:ind w:firstLine="360"/>
        <w:rPr>
          <w:rFonts w:ascii="Garamond" w:hAnsi="Garamond"/>
          <w:color w:val="000000" w:themeColor="text1"/>
          <w:shd w:val="clear" w:color="auto" w:fill="FFFFFF"/>
        </w:rPr>
      </w:pPr>
      <w:r w:rsidRPr="001B1C7A">
        <w:rPr>
          <w:rFonts w:ascii="Garamond" w:hAnsi="Garamond"/>
          <w:color w:val="000000" w:themeColor="text1"/>
          <w:shd w:val="clear" w:color="auto" w:fill="FFFFFF"/>
        </w:rPr>
        <w:t xml:space="preserve">One must keep in mind that Requa’s telegram was the catalyst of this correspondence. Like so much of the </w:t>
      </w:r>
      <w:r w:rsidR="00C6532D">
        <w:rPr>
          <w:rFonts w:ascii="Garamond" w:hAnsi="Garamond"/>
          <w:color w:val="000000" w:themeColor="text1"/>
          <w:shd w:val="clear" w:color="auto" w:fill="FFFFFF"/>
        </w:rPr>
        <w:t>K.C.C.</w:t>
      </w:r>
      <w:r w:rsidRPr="001B1C7A">
        <w:rPr>
          <w:rFonts w:ascii="Garamond" w:hAnsi="Garamond"/>
          <w:color w:val="000000" w:themeColor="text1"/>
          <w:shd w:val="clear" w:color="auto" w:fill="FFFFFF"/>
        </w:rPr>
        <w:t xml:space="preserve">’s periphery, Requa knew Thomas. In 1917, Thomas represented the U.S. Shipping Board in negotiations with the British Minister of Petroleum to determine a distribution of </w:t>
      </w:r>
      <w:r w:rsidR="000A556A">
        <w:rPr>
          <w:rFonts w:ascii="Garamond" w:hAnsi="Garamond"/>
          <w:color w:val="000000" w:themeColor="text1"/>
          <w:shd w:val="clear" w:color="auto" w:fill="FFFFFF"/>
        </w:rPr>
        <w:t>natural resources</w:t>
      </w:r>
      <w:r w:rsidRPr="001B1C7A">
        <w:rPr>
          <w:rFonts w:ascii="Garamond" w:hAnsi="Garamond"/>
          <w:color w:val="000000" w:themeColor="text1"/>
          <w:shd w:val="clear" w:color="auto" w:fill="FFFFFF"/>
        </w:rPr>
        <w:t xml:space="preserve"> for the </w:t>
      </w:r>
      <w:r w:rsidR="000A556A">
        <w:rPr>
          <w:rFonts w:ascii="Garamond" w:hAnsi="Garamond"/>
          <w:color w:val="000000" w:themeColor="text1"/>
          <w:shd w:val="clear" w:color="auto" w:fill="FFFFFF"/>
        </w:rPr>
        <w:t>Allies</w:t>
      </w:r>
      <w:r w:rsidRPr="001B1C7A">
        <w:rPr>
          <w:rFonts w:ascii="Garamond" w:hAnsi="Garamond"/>
          <w:color w:val="000000" w:themeColor="text1"/>
          <w:shd w:val="clear" w:color="auto" w:fill="FFFFFF"/>
        </w:rPr>
        <w:t>. His British counterpart was Walter Long.</w:t>
      </w:r>
      <w:r w:rsidRPr="001B1C7A">
        <w:rPr>
          <w:rStyle w:val="FootnoteReference"/>
          <w:rFonts w:ascii="Garamond" w:hAnsi="Garamond"/>
          <w:color w:val="000000" w:themeColor="text1"/>
          <w:shd w:val="clear" w:color="auto" w:fill="FFFFFF"/>
        </w:rPr>
        <w:footnoteReference w:id="179"/>
      </w:r>
      <w:r w:rsidRPr="001B1C7A">
        <w:rPr>
          <w:rFonts w:ascii="Garamond" w:hAnsi="Garamond"/>
          <w:color w:val="000000" w:themeColor="text1"/>
          <w:shd w:val="clear" w:color="auto" w:fill="FFFFFF"/>
        </w:rPr>
        <w:t xml:space="preserve"> Thomas’s position necessitated that he corresponded directly with Requa, who was the </w:t>
      </w:r>
      <w:r w:rsidR="002C576F">
        <w:rPr>
          <w:rFonts w:ascii="Garamond" w:hAnsi="Garamond"/>
          <w:color w:val="000000" w:themeColor="text1"/>
          <w:shd w:val="clear" w:color="auto" w:fill="FFFFFF"/>
        </w:rPr>
        <w:t>Director of the Oil Division of the United States Fuel Administration, ex</w:t>
      </w:r>
      <w:r w:rsidRPr="001B1C7A">
        <w:rPr>
          <w:rFonts w:ascii="Garamond" w:hAnsi="Garamond"/>
          <w:color w:val="000000" w:themeColor="text1"/>
          <w:shd w:val="clear" w:color="auto" w:fill="FFFFFF"/>
        </w:rPr>
        <w:t>changing telegrams about a “Petroleum Mission No. 50.”</w:t>
      </w:r>
      <w:r w:rsidRPr="001B1C7A">
        <w:rPr>
          <w:rStyle w:val="FootnoteReference"/>
          <w:rFonts w:ascii="Garamond" w:hAnsi="Garamond"/>
          <w:color w:val="000000" w:themeColor="text1"/>
          <w:shd w:val="clear" w:color="auto" w:fill="FFFFFF"/>
        </w:rPr>
        <w:footnoteReference w:id="180"/>
      </w:r>
      <w:r w:rsidRPr="001B1C7A">
        <w:rPr>
          <w:rFonts w:ascii="Garamond" w:hAnsi="Garamond"/>
          <w:color w:val="000000" w:themeColor="text1"/>
          <w:shd w:val="clear" w:color="auto" w:fill="FFFFFF"/>
        </w:rPr>
        <w:t xml:space="preserve"> While Requa’s telegram was not decisive, it pushed U.S. officials to consider</w:t>
      </w:r>
      <w:r w:rsidR="00E015E2">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 xml:space="preserve">Yale for intelligence gathering </w:t>
      </w:r>
      <w:r w:rsidR="000A556A">
        <w:rPr>
          <w:rFonts w:ascii="Garamond" w:hAnsi="Garamond"/>
          <w:color w:val="000000" w:themeColor="text1"/>
          <w:shd w:val="clear" w:color="auto" w:fill="FFFFFF"/>
        </w:rPr>
        <w:t xml:space="preserve">purpose </w:t>
      </w:r>
      <w:r w:rsidR="0031665B">
        <w:rPr>
          <w:rFonts w:ascii="Garamond" w:hAnsi="Garamond"/>
          <w:color w:val="000000" w:themeColor="text1"/>
          <w:shd w:val="clear" w:color="auto" w:fill="FFFFFF"/>
        </w:rPr>
        <w:t>while he served on the K</w:t>
      </w:r>
      <w:r w:rsidR="004F29A6">
        <w:rPr>
          <w:rFonts w:ascii="Garamond" w:hAnsi="Garamond"/>
          <w:color w:val="000000" w:themeColor="text1"/>
          <w:shd w:val="clear" w:color="auto" w:fill="FFFFFF"/>
        </w:rPr>
        <w:t>.</w:t>
      </w:r>
      <w:r w:rsidR="0031665B">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0031665B">
        <w:rPr>
          <w:rFonts w:ascii="Garamond" w:hAnsi="Garamond"/>
          <w:color w:val="000000" w:themeColor="text1"/>
          <w:shd w:val="clear" w:color="auto" w:fill="FFFFFF"/>
        </w:rPr>
        <w:t>C</w:t>
      </w:r>
      <w:r w:rsidRPr="001B1C7A">
        <w:rPr>
          <w:rFonts w:ascii="Garamond" w:hAnsi="Garamond"/>
          <w:color w:val="000000" w:themeColor="text1"/>
          <w:shd w:val="clear" w:color="auto" w:fill="FFFFFF"/>
        </w:rPr>
        <w:t>.</w:t>
      </w:r>
      <w:r w:rsidR="004F29A6">
        <w:rPr>
          <w:rFonts w:ascii="Garamond" w:hAnsi="Garamond"/>
          <w:color w:val="000000" w:themeColor="text1"/>
          <w:shd w:val="clear" w:color="auto" w:fill="FFFFFF"/>
        </w:rPr>
        <w:t xml:space="preserve"> Requa’s telegram elevated Yale in the eyes of U.S. foreign policymakers; Yale would go on to use that elevated position to advocate for the national security considerations of oil. </w:t>
      </w:r>
      <w:r w:rsidR="00C14918">
        <w:rPr>
          <w:rFonts w:ascii="Garamond" w:hAnsi="Garamond"/>
          <w:color w:val="000000" w:themeColor="text1"/>
          <w:shd w:val="clear" w:color="auto" w:fill="FFFFFF"/>
        </w:rPr>
        <w:t xml:space="preserve">Requa’s </w:t>
      </w:r>
      <w:r w:rsidR="000A556A">
        <w:rPr>
          <w:rFonts w:ascii="Garamond" w:hAnsi="Garamond"/>
          <w:color w:val="000000" w:themeColor="text1"/>
          <w:shd w:val="clear" w:color="auto" w:fill="FFFFFF"/>
        </w:rPr>
        <w:t xml:space="preserve">and Thomas’s </w:t>
      </w:r>
      <w:r w:rsidR="00C14918">
        <w:rPr>
          <w:rFonts w:ascii="Garamond" w:hAnsi="Garamond"/>
          <w:color w:val="000000" w:themeColor="text1"/>
          <w:shd w:val="clear" w:color="auto" w:fill="FFFFFF"/>
        </w:rPr>
        <w:t>relationship demands further exploration</w:t>
      </w:r>
      <w:r w:rsidR="000A556A">
        <w:rPr>
          <w:rFonts w:ascii="Garamond" w:hAnsi="Garamond"/>
          <w:color w:val="000000" w:themeColor="text1"/>
          <w:shd w:val="clear" w:color="auto" w:fill="FFFFFF"/>
        </w:rPr>
        <w:t xml:space="preserve">. </w:t>
      </w:r>
    </w:p>
    <w:p w14:paraId="401DF6A5" w14:textId="0FAB2A90" w:rsidR="00400498" w:rsidRPr="001B1C7A" w:rsidRDefault="00400498" w:rsidP="0030323A">
      <w:pPr>
        <w:spacing w:line="480" w:lineRule="auto"/>
        <w:ind w:firstLine="360"/>
        <w:rPr>
          <w:rFonts w:ascii="Garamond" w:hAnsi="Garamond"/>
          <w:color w:val="000000" w:themeColor="text1"/>
          <w:shd w:val="clear" w:color="auto" w:fill="FFFFFF"/>
        </w:rPr>
      </w:pPr>
      <w:r>
        <w:rPr>
          <w:rFonts w:ascii="Garamond" w:hAnsi="Garamond"/>
          <w:color w:val="000000" w:themeColor="text1"/>
          <w:shd w:val="clear" w:color="auto" w:fill="FFFFFF"/>
        </w:rPr>
        <w:t xml:space="preserve">Requa was one of a few early policymakers who highlighted the importance of oil to the United States. </w:t>
      </w:r>
      <w:r w:rsidR="00200C42">
        <w:rPr>
          <w:rFonts w:ascii="Garamond" w:hAnsi="Garamond"/>
          <w:color w:val="000000" w:themeColor="text1"/>
          <w:shd w:val="clear" w:color="auto" w:fill="FFFFFF"/>
        </w:rPr>
        <w:t>Van H Manning, the director of the Bureau of Mines, also undertook efforts similar to Requa, attempting to educate Congress on the petroleum shortage.</w:t>
      </w:r>
      <w:r w:rsidR="00200C42">
        <w:rPr>
          <w:rStyle w:val="FootnoteReference"/>
          <w:rFonts w:ascii="Garamond" w:hAnsi="Garamond"/>
          <w:color w:val="000000" w:themeColor="text1"/>
          <w:shd w:val="clear" w:color="auto" w:fill="FFFFFF"/>
        </w:rPr>
        <w:footnoteReference w:id="181"/>
      </w:r>
      <w:r w:rsidR="00200C42">
        <w:rPr>
          <w:rFonts w:ascii="Garamond" w:hAnsi="Garamond"/>
          <w:color w:val="000000" w:themeColor="text1"/>
          <w:shd w:val="clear" w:color="auto" w:fill="FFFFFF"/>
        </w:rPr>
        <w:t xml:space="preserve"> Franklin K. Lane, Wilson’s Secretary of the Interior</w:t>
      </w:r>
      <w:r w:rsidR="0064630F">
        <w:rPr>
          <w:rFonts w:ascii="Garamond" w:hAnsi="Garamond"/>
          <w:color w:val="000000" w:themeColor="text1"/>
          <w:shd w:val="clear" w:color="auto" w:fill="FFFFFF"/>
        </w:rPr>
        <w:t>,</w:t>
      </w:r>
      <w:r w:rsidR="00200C42">
        <w:rPr>
          <w:rFonts w:ascii="Garamond" w:hAnsi="Garamond"/>
          <w:color w:val="000000" w:themeColor="text1"/>
          <w:shd w:val="clear" w:color="auto" w:fill="FFFFFF"/>
        </w:rPr>
        <w:t xml:space="preserve"> also supported these efforts, establishing a commission </w:t>
      </w:r>
      <w:r w:rsidR="0064630F">
        <w:rPr>
          <w:rFonts w:ascii="Garamond" w:hAnsi="Garamond"/>
          <w:color w:val="000000" w:themeColor="text1"/>
          <w:shd w:val="clear" w:color="auto" w:fill="FFFFFF"/>
        </w:rPr>
        <w:t>for counsel</w:t>
      </w:r>
      <w:r w:rsidR="00200C42">
        <w:rPr>
          <w:rFonts w:ascii="Garamond" w:hAnsi="Garamond"/>
          <w:color w:val="000000" w:themeColor="text1"/>
          <w:shd w:val="clear" w:color="auto" w:fill="FFFFFF"/>
        </w:rPr>
        <w:t xml:space="preserve"> on </w:t>
      </w:r>
      <w:r w:rsidR="00200C42">
        <w:rPr>
          <w:rFonts w:ascii="Garamond" w:hAnsi="Garamond"/>
          <w:color w:val="000000" w:themeColor="text1"/>
          <w:shd w:val="clear" w:color="auto" w:fill="FFFFFF"/>
        </w:rPr>
        <w:lastRenderedPageBreak/>
        <w:t>“petroleum supply problems” in 1919.</w:t>
      </w:r>
      <w:r w:rsidR="00200C42">
        <w:rPr>
          <w:rStyle w:val="FootnoteReference"/>
          <w:rFonts w:ascii="Garamond" w:hAnsi="Garamond"/>
          <w:color w:val="000000" w:themeColor="text1"/>
          <w:shd w:val="clear" w:color="auto" w:fill="FFFFFF"/>
        </w:rPr>
        <w:footnoteReference w:id="182"/>
      </w:r>
      <w:r w:rsidR="00200C42">
        <w:rPr>
          <w:rFonts w:ascii="Garamond" w:hAnsi="Garamond"/>
          <w:color w:val="000000" w:themeColor="text1"/>
          <w:shd w:val="clear" w:color="auto" w:fill="FFFFFF"/>
        </w:rPr>
        <w:t xml:space="preserve"> And</w:t>
      </w:r>
      <w:r w:rsidR="000A556A">
        <w:rPr>
          <w:rFonts w:ascii="Garamond" w:hAnsi="Garamond"/>
          <w:color w:val="000000" w:themeColor="text1"/>
          <w:shd w:val="clear" w:color="auto" w:fill="FFFFFF"/>
        </w:rPr>
        <w:t xml:space="preserve"> </w:t>
      </w:r>
      <w:r w:rsidR="00200C42">
        <w:rPr>
          <w:rFonts w:ascii="Garamond" w:hAnsi="Garamond"/>
          <w:color w:val="000000" w:themeColor="text1"/>
          <w:shd w:val="clear" w:color="auto" w:fill="FFFFFF"/>
        </w:rPr>
        <w:t xml:space="preserve">a vociferous supporter of oil for national security was Wilson’s Secretary of the Navy Josephus Daniels, who had proposed that a government owned oil pipeline run across the United States and was motivated squarely by naval competition with Japan. </w:t>
      </w:r>
    </w:p>
    <w:p w14:paraId="2167B65B" w14:textId="02B27704" w:rsidR="0030323A" w:rsidRPr="001B1C7A" w:rsidRDefault="0030323A" w:rsidP="0030323A">
      <w:pPr>
        <w:spacing w:line="480" w:lineRule="auto"/>
        <w:rPr>
          <w:rFonts w:ascii="Garamond" w:hAnsi="Garamond"/>
          <w:b/>
          <w:bCs/>
          <w:color w:val="000000" w:themeColor="text1"/>
          <w:shd w:val="clear" w:color="auto" w:fill="FFFFFF"/>
        </w:rPr>
      </w:pPr>
      <w:r w:rsidRPr="001B1C7A">
        <w:rPr>
          <w:rFonts w:ascii="Garamond" w:hAnsi="Garamond"/>
          <w:b/>
          <w:bCs/>
          <w:color w:val="000000" w:themeColor="text1"/>
          <w:shd w:val="clear" w:color="auto" w:fill="FFFFFF"/>
        </w:rPr>
        <w:tab/>
      </w:r>
      <w:r w:rsidRPr="001B1C7A">
        <w:rPr>
          <w:rFonts w:ascii="Garamond" w:hAnsi="Garamond"/>
          <w:color w:val="000000" w:themeColor="text1"/>
          <w:shd w:val="clear" w:color="auto" w:fill="FFFFFF"/>
        </w:rPr>
        <w:t>Yale’s expertise with oil, his position on the K</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00534BB1">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and oil</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interest</w:t>
      </w:r>
      <w:r w:rsidR="004F29A6">
        <w:rPr>
          <w:rFonts w:ascii="Garamond" w:hAnsi="Garamond"/>
          <w:color w:val="000000" w:themeColor="text1"/>
          <w:shd w:val="clear" w:color="auto" w:fill="FFFFFF"/>
        </w:rPr>
        <w:t>ed actors</w:t>
      </w:r>
      <w:r w:rsidRPr="001B1C7A">
        <w:rPr>
          <w:rFonts w:ascii="Garamond" w:hAnsi="Garamond"/>
          <w:color w:val="000000" w:themeColor="text1"/>
          <w:shd w:val="clear" w:color="auto" w:fill="FFFFFF"/>
        </w:rPr>
        <w:t xml:space="preserve"> on the periphery of the </w:t>
      </w:r>
      <w:r w:rsidR="00C6532D">
        <w:rPr>
          <w:rFonts w:ascii="Garamond" w:hAnsi="Garamond"/>
          <w:color w:val="000000" w:themeColor="text1"/>
          <w:shd w:val="clear" w:color="auto" w:fill="FFFFFF"/>
        </w:rPr>
        <w:t>K.C.C.</w:t>
      </w:r>
      <w:r w:rsidR="004F29A6">
        <w:rPr>
          <w:rFonts w:ascii="Garamond" w:hAnsi="Garamond"/>
          <w:color w:val="000000" w:themeColor="text1"/>
          <w:shd w:val="clear" w:color="auto" w:fill="FFFFFF"/>
        </w:rPr>
        <w:t>, like Thomas and Requa,</w:t>
      </w:r>
      <w:r w:rsidRPr="001B1C7A">
        <w:rPr>
          <w:rFonts w:ascii="Garamond" w:hAnsi="Garamond"/>
          <w:color w:val="000000" w:themeColor="text1"/>
          <w:shd w:val="clear" w:color="auto" w:fill="FFFFFF"/>
        </w:rPr>
        <w:t xml:space="preserve"> allowed Yale to occupy an important position in the eyes of the American Commission to Negotiate Peace. Westermann elevated Yale to the K</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because Yale was aware of Middle Eastern geopolitics and oil considerations. The K</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then highlighted Yale’s importance to members of the American Commission to Negotiate Peace, as Yale could report on oil considerations and verify claims made by Standard Oil – </w:t>
      </w:r>
      <w:r w:rsidR="004F29A6">
        <w:rPr>
          <w:rFonts w:ascii="Garamond" w:hAnsi="Garamond"/>
          <w:color w:val="000000" w:themeColor="text1"/>
          <w:shd w:val="clear" w:color="auto" w:fill="FFFFFF"/>
        </w:rPr>
        <w:t xml:space="preserve">the </w:t>
      </w:r>
      <w:r w:rsidRPr="001B1C7A">
        <w:rPr>
          <w:rFonts w:ascii="Garamond" w:hAnsi="Garamond"/>
          <w:color w:val="000000" w:themeColor="text1"/>
          <w:shd w:val="clear" w:color="auto" w:fill="FFFFFF"/>
        </w:rPr>
        <w:t>American Commission to Negotiate Peace even suggested this in a telegram. Thomas, concomitantly, was putting pressure on the K</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and orchestrating a situation in which the K</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would advocate for principles of an </w:t>
      </w:r>
      <w:r w:rsidR="00227ABC">
        <w:rPr>
          <w:rFonts w:ascii="Garamond" w:hAnsi="Garamond"/>
          <w:color w:val="000000" w:themeColor="text1"/>
          <w:shd w:val="clear" w:color="auto" w:fill="FFFFFF"/>
        </w:rPr>
        <w:t>Open Door</w:t>
      </w:r>
      <w:r w:rsidRPr="001B1C7A">
        <w:rPr>
          <w:rFonts w:ascii="Garamond" w:hAnsi="Garamond"/>
          <w:color w:val="000000" w:themeColor="text1"/>
          <w:shd w:val="clear" w:color="auto" w:fill="FFFFFF"/>
        </w:rPr>
        <w:t xml:space="preserve">. Notably, Thomas used his previous relationship with Yale to ensure that Yale was up to date on European exclusionary activities before the </w:t>
      </w:r>
      <w:r w:rsidR="00C6532D">
        <w:rPr>
          <w:rFonts w:ascii="Garamond" w:hAnsi="Garamond"/>
          <w:color w:val="000000" w:themeColor="text1"/>
          <w:shd w:val="clear" w:color="auto" w:fill="FFFFFF"/>
        </w:rPr>
        <w:t>K.C.C.</w:t>
      </w:r>
      <w:r w:rsidRPr="001B1C7A">
        <w:rPr>
          <w:rFonts w:ascii="Garamond" w:hAnsi="Garamond"/>
          <w:color w:val="000000" w:themeColor="text1"/>
          <w:shd w:val="clear" w:color="auto" w:fill="FFFFFF"/>
        </w:rPr>
        <w:t xml:space="preserve"> embarked</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and </w:t>
      </w:r>
      <w:r w:rsidR="004F29A6">
        <w:rPr>
          <w:rFonts w:ascii="Garamond" w:hAnsi="Garamond"/>
          <w:color w:val="000000" w:themeColor="text1"/>
          <w:shd w:val="clear" w:color="auto" w:fill="FFFFFF"/>
        </w:rPr>
        <w:t xml:space="preserve">he </w:t>
      </w:r>
      <w:r w:rsidRPr="001B1C7A">
        <w:rPr>
          <w:rFonts w:ascii="Garamond" w:hAnsi="Garamond"/>
          <w:color w:val="000000" w:themeColor="text1"/>
          <w:shd w:val="clear" w:color="auto" w:fill="FFFFFF"/>
        </w:rPr>
        <w:t>drew on Bristol to expose the K</w:t>
      </w:r>
      <w:r w:rsidR="004F29A6">
        <w:rPr>
          <w:rFonts w:ascii="Garamond" w:hAnsi="Garamond"/>
          <w:color w:val="000000" w:themeColor="text1"/>
          <w:shd w:val="clear" w:color="auto" w:fill="FFFFFF"/>
        </w:rPr>
        <w:t>.C.</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further to </w:t>
      </w:r>
      <w:r w:rsidR="004F29A6">
        <w:rPr>
          <w:rFonts w:ascii="Garamond" w:hAnsi="Garamond"/>
          <w:color w:val="000000" w:themeColor="text1"/>
          <w:shd w:val="clear" w:color="auto" w:fill="FFFFFF"/>
        </w:rPr>
        <w:t xml:space="preserve">pro </w:t>
      </w:r>
      <w:r w:rsidR="00227ABC">
        <w:rPr>
          <w:rFonts w:ascii="Garamond" w:hAnsi="Garamond"/>
          <w:color w:val="000000" w:themeColor="text1"/>
          <w:shd w:val="clear" w:color="auto" w:fill="FFFFFF"/>
        </w:rPr>
        <w:t xml:space="preserve">Open </w:t>
      </w:r>
      <w:r w:rsidR="004F29A6">
        <w:rPr>
          <w:rFonts w:ascii="Garamond" w:hAnsi="Garamond"/>
          <w:color w:val="000000" w:themeColor="text1"/>
          <w:shd w:val="clear" w:color="auto" w:fill="FFFFFF"/>
        </w:rPr>
        <w:t>–</w:t>
      </w:r>
      <w:r w:rsidR="00227ABC">
        <w:rPr>
          <w:rFonts w:ascii="Garamond" w:hAnsi="Garamond"/>
          <w:color w:val="000000" w:themeColor="text1"/>
          <w:shd w:val="clear" w:color="auto" w:fill="FFFFFF"/>
        </w:rPr>
        <w:t xml:space="preserve"> Door</w:t>
      </w:r>
      <w:r w:rsidR="004F29A6">
        <w:rPr>
          <w:rFonts w:ascii="Garamond" w:hAnsi="Garamond"/>
          <w:color w:val="000000" w:themeColor="text1"/>
          <w:shd w:val="clear" w:color="auto" w:fill="FFFFFF"/>
        </w:rPr>
        <w:t xml:space="preserve"> thinking</w:t>
      </w:r>
      <w:r w:rsidRPr="001B1C7A">
        <w:rPr>
          <w:rFonts w:ascii="Garamond" w:hAnsi="Garamond"/>
          <w:color w:val="000000" w:themeColor="text1"/>
          <w:shd w:val="clear" w:color="auto" w:fill="FFFFFF"/>
        </w:rPr>
        <w:t>. The K</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itself, however, may not have had a decisive effect on the U. S’s conception of oil interests; the Mesopotamia section was short, and the Palestine section did not discuss oil. Rather, the K</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4F29A6">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elevated Yale to an established position where he had the credibility</w:t>
      </w:r>
      <w:r w:rsidR="006C1146">
        <w:rPr>
          <w:rFonts w:ascii="Garamond" w:hAnsi="Garamond"/>
          <w:color w:val="000000" w:themeColor="text1"/>
          <w:shd w:val="clear" w:color="auto" w:fill="FFFFFF"/>
        </w:rPr>
        <w:t xml:space="preserve"> to</w:t>
      </w:r>
      <w:r w:rsidRPr="001B1C7A">
        <w:rPr>
          <w:rFonts w:ascii="Garamond" w:hAnsi="Garamond"/>
          <w:color w:val="000000" w:themeColor="text1"/>
          <w:shd w:val="clear" w:color="auto" w:fill="FFFFFF"/>
        </w:rPr>
        <w:t xml:space="preserve"> travel to London to continue U.S. interaction with Feisal and British officials </w:t>
      </w:r>
      <w:r w:rsidR="003078A5">
        <w:rPr>
          <w:rFonts w:ascii="Garamond" w:hAnsi="Garamond"/>
          <w:color w:val="000000" w:themeColor="text1"/>
          <w:shd w:val="clear" w:color="auto" w:fill="FFFFFF"/>
        </w:rPr>
        <w:t xml:space="preserve">while advocating for </w:t>
      </w:r>
      <w:r w:rsidR="00197AEF">
        <w:rPr>
          <w:rFonts w:ascii="Garamond" w:hAnsi="Garamond"/>
          <w:color w:val="000000" w:themeColor="text1"/>
          <w:shd w:val="clear" w:color="auto" w:fill="FFFFFF"/>
        </w:rPr>
        <w:t>oil’s</w:t>
      </w:r>
      <w:r w:rsidR="003078A5">
        <w:rPr>
          <w:rFonts w:ascii="Garamond" w:hAnsi="Garamond"/>
          <w:color w:val="000000" w:themeColor="text1"/>
          <w:shd w:val="clear" w:color="auto" w:fill="FFFFFF"/>
        </w:rPr>
        <w:t xml:space="preserve"> security imperatives</w:t>
      </w:r>
      <w:r w:rsidR="00197AEF">
        <w:rPr>
          <w:rFonts w:ascii="Garamond" w:hAnsi="Garamond"/>
          <w:color w:val="000000" w:themeColor="text1"/>
          <w:shd w:val="clear" w:color="auto" w:fill="FFFFFF"/>
        </w:rPr>
        <w:t xml:space="preserve">. </w:t>
      </w:r>
    </w:p>
    <w:p w14:paraId="22CB9162" w14:textId="77777777" w:rsidR="0030323A" w:rsidRDefault="0030323A" w:rsidP="0030323A">
      <w:pPr>
        <w:pStyle w:val="Heading2"/>
        <w:numPr>
          <w:ilvl w:val="0"/>
          <w:numId w:val="34"/>
        </w:numPr>
        <w:rPr>
          <w:rFonts w:ascii="Garamond" w:eastAsia="Times New Roman" w:hAnsi="Garamond"/>
          <w:color w:val="000000" w:themeColor="text1"/>
          <w:shd w:val="clear" w:color="auto" w:fill="FFFFFF"/>
        </w:rPr>
      </w:pPr>
      <w:bookmarkStart w:id="54" w:name="_Toc66731805"/>
      <w:r w:rsidRPr="00997D35">
        <w:rPr>
          <w:rFonts w:ascii="Garamond" w:eastAsia="Times New Roman" w:hAnsi="Garamond"/>
          <w:color w:val="000000" w:themeColor="text1"/>
          <w:shd w:val="clear" w:color="auto" w:fill="FFFFFF"/>
        </w:rPr>
        <w:t>Yale’s Activities in London</w:t>
      </w:r>
      <w:bookmarkEnd w:id="54"/>
    </w:p>
    <w:p w14:paraId="76952BA6" w14:textId="77777777" w:rsidR="0030323A" w:rsidRPr="00997D35" w:rsidRDefault="0030323A" w:rsidP="0030323A"/>
    <w:p w14:paraId="53B87158" w14:textId="77777777" w:rsidR="0030323A" w:rsidRDefault="0030323A" w:rsidP="0030323A">
      <w:pPr>
        <w:pStyle w:val="Heading3"/>
        <w:numPr>
          <w:ilvl w:val="0"/>
          <w:numId w:val="38"/>
        </w:numPr>
        <w:rPr>
          <w:rFonts w:ascii="Garamond" w:eastAsia="Times New Roman" w:hAnsi="Garamond"/>
          <w:color w:val="000000" w:themeColor="text1"/>
          <w:shd w:val="clear" w:color="auto" w:fill="FFFFFF"/>
        </w:rPr>
      </w:pPr>
      <w:bookmarkStart w:id="55" w:name="_Toc66731806"/>
      <w:r w:rsidRPr="00997D35">
        <w:rPr>
          <w:rFonts w:ascii="Garamond" w:eastAsia="Times New Roman" w:hAnsi="Garamond"/>
          <w:color w:val="000000" w:themeColor="text1"/>
          <w:shd w:val="clear" w:color="auto" w:fill="FFFFFF"/>
        </w:rPr>
        <w:t>The Phillips – Polk – Davis Correspondence</w:t>
      </w:r>
      <w:bookmarkEnd w:id="55"/>
      <w:r w:rsidRPr="00997D35">
        <w:rPr>
          <w:rFonts w:ascii="Garamond" w:eastAsia="Times New Roman" w:hAnsi="Garamond"/>
          <w:color w:val="000000" w:themeColor="text1"/>
          <w:shd w:val="clear" w:color="auto" w:fill="FFFFFF"/>
        </w:rPr>
        <w:t xml:space="preserve"> </w:t>
      </w:r>
      <w:r w:rsidRPr="00997D35">
        <w:rPr>
          <w:rFonts w:ascii="Garamond" w:eastAsia="Times New Roman" w:hAnsi="Garamond"/>
          <w:color w:val="000000" w:themeColor="text1"/>
          <w:shd w:val="clear" w:color="auto" w:fill="FFFFFF"/>
        </w:rPr>
        <w:tab/>
      </w:r>
    </w:p>
    <w:p w14:paraId="65E1287D" w14:textId="77777777" w:rsidR="0030323A" w:rsidRPr="00997D35" w:rsidRDefault="0030323A" w:rsidP="0030323A"/>
    <w:p w14:paraId="09DB365B" w14:textId="1391A4BB" w:rsidR="0030323A" w:rsidRPr="001B1C7A" w:rsidRDefault="0030323A" w:rsidP="0030323A">
      <w:pPr>
        <w:spacing w:line="480" w:lineRule="auto"/>
        <w:ind w:firstLine="360"/>
        <w:rPr>
          <w:rFonts w:ascii="Garamond" w:hAnsi="Garamond"/>
          <w:color w:val="000000" w:themeColor="text1"/>
          <w:shd w:val="clear" w:color="auto" w:fill="FFFFFF"/>
        </w:rPr>
      </w:pPr>
      <w:r w:rsidRPr="001B1C7A">
        <w:rPr>
          <w:rFonts w:ascii="Garamond" w:hAnsi="Garamond"/>
          <w:color w:val="000000" w:themeColor="text1"/>
          <w:shd w:val="clear" w:color="auto" w:fill="FFFFFF"/>
        </w:rPr>
        <w:t>The correspondence between Acting Secretary of State Phillips, the Commission to Negotiate Peace and the British continue</w:t>
      </w:r>
      <w:r w:rsidR="000A556A">
        <w:rPr>
          <w:rFonts w:ascii="Garamond" w:hAnsi="Garamond"/>
          <w:color w:val="000000" w:themeColor="text1"/>
          <w:shd w:val="clear" w:color="auto" w:fill="FFFFFF"/>
        </w:rPr>
        <w:t>d</w:t>
      </w:r>
      <w:r w:rsidRPr="001B1C7A">
        <w:rPr>
          <w:rFonts w:ascii="Garamond" w:hAnsi="Garamond"/>
          <w:color w:val="000000" w:themeColor="text1"/>
          <w:shd w:val="clear" w:color="auto" w:fill="FFFFFF"/>
        </w:rPr>
        <w:t xml:space="preserve"> until December 1919; the </w:t>
      </w:r>
      <w:r w:rsidR="00C6532D">
        <w:rPr>
          <w:rFonts w:ascii="Garamond" w:hAnsi="Garamond"/>
          <w:color w:val="000000" w:themeColor="text1"/>
          <w:shd w:val="clear" w:color="auto" w:fill="FFFFFF"/>
        </w:rPr>
        <w:t>K.C.C.</w:t>
      </w:r>
      <w:r w:rsidRPr="001B1C7A">
        <w:rPr>
          <w:rFonts w:ascii="Garamond" w:hAnsi="Garamond"/>
          <w:color w:val="000000" w:themeColor="text1"/>
          <w:shd w:val="clear" w:color="auto" w:fill="FFFFFF"/>
        </w:rPr>
        <w:t xml:space="preserve"> returned to Paris in late August. </w:t>
      </w:r>
      <w:r w:rsidR="000A556A">
        <w:rPr>
          <w:rFonts w:ascii="Garamond" w:hAnsi="Garamond"/>
          <w:color w:val="000000" w:themeColor="text1"/>
          <w:shd w:val="clear" w:color="auto" w:fill="FFFFFF"/>
        </w:rPr>
        <w:lastRenderedPageBreak/>
        <w:t>Once</w:t>
      </w:r>
      <w:r w:rsidR="000A556A" w:rsidRPr="001B1C7A">
        <w:rPr>
          <w:rFonts w:ascii="Garamond" w:hAnsi="Garamond"/>
          <w:color w:val="000000" w:themeColor="text1"/>
          <w:shd w:val="clear" w:color="auto" w:fill="FFFFFF"/>
        </w:rPr>
        <w:t xml:space="preserve"> the K</w:t>
      </w:r>
      <w:r w:rsidR="000A556A">
        <w:rPr>
          <w:rFonts w:ascii="Garamond" w:hAnsi="Garamond"/>
          <w:color w:val="000000" w:themeColor="text1"/>
          <w:shd w:val="clear" w:color="auto" w:fill="FFFFFF"/>
        </w:rPr>
        <w:t>.C.C.</w:t>
      </w:r>
      <w:r w:rsidR="000A556A" w:rsidRPr="001B1C7A">
        <w:rPr>
          <w:rFonts w:ascii="Garamond" w:hAnsi="Garamond"/>
          <w:color w:val="000000" w:themeColor="text1"/>
          <w:shd w:val="clear" w:color="auto" w:fill="FFFFFF"/>
        </w:rPr>
        <w:t xml:space="preserve"> returned to Paris, Yale reflect</w:t>
      </w:r>
      <w:r w:rsidR="000A556A">
        <w:rPr>
          <w:rFonts w:ascii="Garamond" w:hAnsi="Garamond"/>
          <w:color w:val="000000" w:themeColor="text1"/>
          <w:shd w:val="clear" w:color="auto" w:fill="FFFFFF"/>
        </w:rPr>
        <w:t>ed</w:t>
      </w:r>
      <w:r w:rsidR="000A556A" w:rsidRPr="001B1C7A">
        <w:rPr>
          <w:rFonts w:ascii="Garamond" w:hAnsi="Garamond"/>
          <w:color w:val="000000" w:themeColor="text1"/>
          <w:shd w:val="clear" w:color="auto" w:fill="FFFFFF"/>
        </w:rPr>
        <w:t xml:space="preserve"> on his thoughts, and then headed to London on September 27</w:t>
      </w:r>
      <w:r w:rsidR="000A556A">
        <w:rPr>
          <w:rFonts w:ascii="Garamond" w:hAnsi="Garamond"/>
          <w:color w:val="000000" w:themeColor="text1"/>
          <w:shd w:val="clear" w:color="auto" w:fill="FFFFFF"/>
        </w:rPr>
        <w:t>. There</w:t>
      </w:r>
      <w:r w:rsidRPr="001B1C7A">
        <w:rPr>
          <w:rFonts w:ascii="Garamond" w:hAnsi="Garamond"/>
          <w:color w:val="000000" w:themeColor="text1"/>
          <w:shd w:val="clear" w:color="auto" w:fill="FFFFFF"/>
        </w:rPr>
        <w:t xml:space="preserve"> Yale made his most obsequious efforts to advance </w:t>
      </w:r>
      <w:r w:rsidR="000A556A">
        <w:rPr>
          <w:rFonts w:ascii="Garamond" w:hAnsi="Garamond"/>
          <w:color w:val="000000" w:themeColor="text1"/>
          <w:shd w:val="clear" w:color="auto" w:fill="FFFFFF"/>
        </w:rPr>
        <w:t xml:space="preserve">his ideas about oil. </w:t>
      </w:r>
    </w:p>
    <w:p w14:paraId="39C0E699" w14:textId="77777777" w:rsidR="0030323A" w:rsidRDefault="0030323A" w:rsidP="0030323A">
      <w:pPr>
        <w:pStyle w:val="Heading4"/>
        <w:numPr>
          <w:ilvl w:val="0"/>
          <w:numId w:val="38"/>
        </w:numPr>
        <w:rPr>
          <w:rFonts w:ascii="Garamond" w:eastAsia="Times New Roman" w:hAnsi="Garamond"/>
          <w:i w:val="0"/>
          <w:iCs w:val="0"/>
          <w:color w:val="000000" w:themeColor="text1"/>
          <w:shd w:val="clear" w:color="auto" w:fill="FFFFFF"/>
        </w:rPr>
      </w:pPr>
      <w:r w:rsidRPr="00997D35">
        <w:rPr>
          <w:rFonts w:ascii="Garamond" w:eastAsia="Times New Roman" w:hAnsi="Garamond"/>
          <w:i w:val="0"/>
          <w:iCs w:val="0"/>
          <w:color w:val="000000" w:themeColor="text1"/>
          <w:shd w:val="clear" w:color="auto" w:fill="FFFFFF"/>
        </w:rPr>
        <w:t>September 18</w:t>
      </w:r>
      <w:r w:rsidRPr="00997D35">
        <w:rPr>
          <w:rFonts w:ascii="Garamond" w:eastAsia="Times New Roman" w:hAnsi="Garamond"/>
          <w:i w:val="0"/>
          <w:iCs w:val="0"/>
          <w:color w:val="000000" w:themeColor="text1"/>
          <w:shd w:val="clear" w:color="auto" w:fill="FFFFFF"/>
          <w:vertAlign w:val="superscript"/>
        </w:rPr>
        <w:t>th</w:t>
      </w:r>
      <w:r w:rsidRPr="00997D35">
        <w:rPr>
          <w:rFonts w:ascii="Garamond" w:eastAsia="Times New Roman" w:hAnsi="Garamond"/>
          <w:i w:val="0"/>
          <w:iCs w:val="0"/>
          <w:color w:val="000000" w:themeColor="text1"/>
          <w:shd w:val="clear" w:color="auto" w:fill="FFFFFF"/>
        </w:rPr>
        <w:t xml:space="preserve">: Phillips Refers Polk to Thomas (Letter)  </w:t>
      </w:r>
    </w:p>
    <w:p w14:paraId="385B557F" w14:textId="77777777" w:rsidR="0030323A" w:rsidRPr="00997D35" w:rsidRDefault="0030323A" w:rsidP="0030323A"/>
    <w:p w14:paraId="22EBC1C7" w14:textId="5BBECE70" w:rsidR="0030323A" w:rsidRPr="001B1C7A" w:rsidRDefault="0030323A" w:rsidP="0030323A">
      <w:pPr>
        <w:spacing w:line="480" w:lineRule="auto"/>
        <w:ind w:firstLine="720"/>
        <w:rPr>
          <w:rFonts w:ascii="Garamond" w:hAnsi="Garamond"/>
          <w:color w:val="000000" w:themeColor="text1"/>
          <w:shd w:val="clear" w:color="auto" w:fill="FFFFFF"/>
        </w:rPr>
      </w:pPr>
      <w:r w:rsidRPr="001B1C7A">
        <w:rPr>
          <w:rFonts w:ascii="Garamond" w:hAnsi="Garamond"/>
          <w:color w:val="000000" w:themeColor="text1"/>
          <w:shd w:val="clear" w:color="auto" w:fill="FFFFFF"/>
        </w:rPr>
        <w:t>On September 18, Phillips writes to the American Commission “British authorities have obtained information of Standard Oil concessions by very doubtful methods. Explanation was requested through our Embassy at London, but explanation given did not conform with the facts as reported by Captain William Yale.”</w:t>
      </w:r>
      <w:r w:rsidRPr="001B1C7A">
        <w:rPr>
          <w:rStyle w:val="FootnoteReference"/>
          <w:rFonts w:ascii="Garamond" w:hAnsi="Garamond"/>
          <w:color w:val="000000" w:themeColor="text1"/>
          <w:shd w:val="clear" w:color="auto" w:fill="FFFFFF"/>
        </w:rPr>
        <w:footnoteReference w:id="183"/>
      </w:r>
      <w:r w:rsidRPr="001B1C7A">
        <w:rPr>
          <w:rFonts w:ascii="Garamond" w:hAnsi="Garamond"/>
          <w:color w:val="000000" w:themeColor="text1"/>
          <w:shd w:val="clear" w:color="auto" w:fill="FFFFFF"/>
        </w:rPr>
        <w:t xml:space="preserve"> Though the K</w:t>
      </w:r>
      <w:r w:rsidR="00CB32CF">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CB32CF">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CB32CF">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had concluded, by September Yale was still in contact with U.S. policymakers concerning oil interests</w:t>
      </w:r>
      <w:r w:rsidR="007D5657">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providing the intelligence</w:t>
      </w:r>
      <w:r w:rsidR="007D5657">
        <w:rPr>
          <w:rFonts w:ascii="Garamond" w:hAnsi="Garamond"/>
          <w:color w:val="000000" w:themeColor="text1"/>
          <w:shd w:val="clear" w:color="auto" w:fill="FFFFFF"/>
        </w:rPr>
        <w:t xml:space="preserve">. </w:t>
      </w:r>
    </w:p>
    <w:p w14:paraId="4975C490" w14:textId="48E12CF7" w:rsidR="0030323A" w:rsidRPr="001B1C7A" w:rsidRDefault="0030323A" w:rsidP="0030323A">
      <w:pPr>
        <w:spacing w:line="480" w:lineRule="auto"/>
        <w:rPr>
          <w:rFonts w:ascii="Garamond" w:hAnsi="Garamond"/>
          <w:color w:val="000000" w:themeColor="text1"/>
          <w:shd w:val="clear" w:color="auto" w:fill="FFFFFF"/>
        </w:rPr>
      </w:pPr>
      <w:r w:rsidRPr="001B1C7A">
        <w:rPr>
          <w:rFonts w:ascii="Garamond" w:hAnsi="Garamond"/>
          <w:color w:val="000000" w:themeColor="text1"/>
          <w:shd w:val="clear" w:color="auto" w:fill="FFFFFF"/>
        </w:rPr>
        <w:tab/>
        <w:t xml:space="preserve">Phillips </w:t>
      </w:r>
      <w:r w:rsidR="007E4150">
        <w:rPr>
          <w:rFonts w:ascii="Garamond" w:hAnsi="Garamond"/>
          <w:color w:val="000000" w:themeColor="text1"/>
          <w:shd w:val="clear" w:color="auto" w:fill="FFFFFF"/>
        </w:rPr>
        <w:t>concludes</w:t>
      </w:r>
      <w:r w:rsidRPr="001B1C7A">
        <w:rPr>
          <w:rFonts w:ascii="Garamond" w:hAnsi="Garamond"/>
          <w:color w:val="000000" w:themeColor="text1"/>
          <w:shd w:val="clear" w:color="auto" w:fill="FFFFFF"/>
        </w:rPr>
        <w:t xml:space="preserve"> with “Mr. L. I. Thomas</w:t>
      </w:r>
      <w:r w:rsidR="007E4150">
        <w:rPr>
          <w:rFonts w:ascii="Garamond" w:hAnsi="Garamond"/>
          <w:color w:val="000000" w:themeColor="text1"/>
          <w:shd w:val="clear" w:color="auto" w:fill="FFFFFF"/>
        </w:rPr>
        <w:t xml:space="preserve"> … </w:t>
      </w:r>
      <w:r w:rsidRPr="001B1C7A">
        <w:rPr>
          <w:rFonts w:ascii="Garamond" w:hAnsi="Garamond"/>
          <w:color w:val="000000" w:themeColor="text1"/>
          <w:shd w:val="clear" w:color="auto" w:fill="FFFFFF"/>
        </w:rPr>
        <w:t>is now in Paris and will give you the facts of the case.”</w:t>
      </w:r>
      <w:r w:rsidRPr="001B1C7A">
        <w:rPr>
          <w:rStyle w:val="FootnoteReference"/>
          <w:rFonts w:ascii="Garamond" w:hAnsi="Garamond"/>
          <w:color w:val="000000" w:themeColor="text1"/>
          <w:shd w:val="clear" w:color="auto" w:fill="FFFFFF"/>
        </w:rPr>
        <w:footnoteReference w:id="184"/>
      </w:r>
      <w:r w:rsidRPr="001B1C7A">
        <w:rPr>
          <w:rFonts w:ascii="Garamond" w:hAnsi="Garamond"/>
          <w:color w:val="000000" w:themeColor="text1"/>
          <w:shd w:val="clear" w:color="auto" w:fill="FFFFFF"/>
        </w:rPr>
        <w:t xml:space="preserve"> First, this sentence indicates that Thomas had managed to leverage himself into meetings with the American policymakers in Paris to discuss a policy response. Second, this also proves that Yale and Thomas both stayed in Paris after their return, as opposed to the other K</w:t>
      </w:r>
      <w:r w:rsidR="00CB32CF">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CB32CF">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CB32CF">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 xml:space="preserve">members who </w:t>
      </w:r>
      <w:r w:rsidR="00CB32CF">
        <w:rPr>
          <w:rFonts w:ascii="Garamond" w:hAnsi="Garamond"/>
          <w:color w:val="000000" w:themeColor="text1"/>
          <w:shd w:val="clear" w:color="auto" w:fill="FFFFFF"/>
        </w:rPr>
        <w:t>had departed</w:t>
      </w:r>
      <w:r w:rsidRPr="001B1C7A">
        <w:rPr>
          <w:rFonts w:ascii="Garamond" w:hAnsi="Garamond"/>
          <w:color w:val="000000" w:themeColor="text1"/>
          <w:shd w:val="clear" w:color="auto" w:fill="FFFFFF"/>
        </w:rPr>
        <w:t xml:space="preserve">. Yale and Thomas most likely stayed in contact while in Paris. </w:t>
      </w:r>
    </w:p>
    <w:p w14:paraId="460296EA" w14:textId="1287D2A5" w:rsidR="0030323A" w:rsidRDefault="0030323A" w:rsidP="0030323A">
      <w:pPr>
        <w:pStyle w:val="Heading4"/>
        <w:numPr>
          <w:ilvl w:val="0"/>
          <w:numId w:val="38"/>
        </w:numPr>
        <w:rPr>
          <w:rFonts w:ascii="Garamond" w:eastAsia="Times New Roman" w:hAnsi="Garamond"/>
          <w:i w:val="0"/>
          <w:iCs w:val="0"/>
          <w:color w:val="000000" w:themeColor="text1"/>
          <w:shd w:val="clear" w:color="auto" w:fill="FFFFFF"/>
        </w:rPr>
      </w:pPr>
      <w:r w:rsidRPr="007F2178">
        <w:rPr>
          <w:rFonts w:ascii="Garamond" w:eastAsia="Times New Roman" w:hAnsi="Garamond"/>
          <w:i w:val="0"/>
          <w:iCs w:val="0"/>
          <w:color w:val="000000" w:themeColor="text1"/>
          <w:shd w:val="clear" w:color="auto" w:fill="FFFFFF"/>
        </w:rPr>
        <w:t>September 29: Yale Receives Tacit Encouragement from Ambassador Davis to Discuss Oil (Meeting)</w:t>
      </w:r>
    </w:p>
    <w:p w14:paraId="6C64573C" w14:textId="77777777" w:rsidR="0030323A" w:rsidRPr="007F2178" w:rsidRDefault="0030323A" w:rsidP="0030323A"/>
    <w:p w14:paraId="60739CE5" w14:textId="36C4175E" w:rsidR="0030323A" w:rsidRPr="001B1C7A" w:rsidRDefault="0030323A" w:rsidP="00EC2ED7">
      <w:pPr>
        <w:spacing w:line="480" w:lineRule="auto"/>
        <w:ind w:firstLine="720"/>
        <w:rPr>
          <w:rFonts w:ascii="Garamond" w:hAnsi="Garamond"/>
          <w:color w:val="000000" w:themeColor="text1"/>
          <w:shd w:val="clear" w:color="auto" w:fill="FFFFFF"/>
        </w:rPr>
      </w:pPr>
      <w:r w:rsidRPr="001B1C7A">
        <w:rPr>
          <w:rFonts w:ascii="Garamond" w:hAnsi="Garamond"/>
          <w:color w:val="000000" w:themeColor="text1"/>
          <w:shd w:val="clear" w:color="auto" w:fill="FFFFFF"/>
        </w:rPr>
        <w:t xml:space="preserve">It </w:t>
      </w:r>
      <w:r w:rsidR="007E4150">
        <w:rPr>
          <w:rFonts w:ascii="Garamond" w:hAnsi="Garamond"/>
          <w:color w:val="000000" w:themeColor="text1"/>
          <w:shd w:val="clear" w:color="auto" w:fill="FFFFFF"/>
        </w:rPr>
        <w:t>is no</w:t>
      </w:r>
      <w:r w:rsidRPr="001B1C7A">
        <w:rPr>
          <w:rFonts w:ascii="Garamond" w:hAnsi="Garamond"/>
          <w:color w:val="000000" w:themeColor="text1"/>
          <w:shd w:val="clear" w:color="auto" w:fill="FFFFFF"/>
        </w:rPr>
        <w:t xml:space="preserve"> surprise that, </w:t>
      </w:r>
      <w:r w:rsidR="007E4150">
        <w:rPr>
          <w:rFonts w:ascii="Garamond" w:hAnsi="Garamond"/>
          <w:color w:val="000000" w:themeColor="text1"/>
          <w:shd w:val="clear" w:color="auto" w:fill="FFFFFF"/>
        </w:rPr>
        <w:t>mid</w:t>
      </w:r>
      <w:r w:rsidRPr="001B1C7A">
        <w:rPr>
          <w:rFonts w:ascii="Garamond" w:hAnsi="Garamond"/>
          <w:color w:val="000000" w:themeColor="text1"/>
          <w:shd w:val="clear" w:color="auto" w:fill="FFFFFF"/>
        </w:rPr>
        <w:t>-September, Yale asked William Buckler, his superior, if he could go to London.</w:t>
      </w:r>
      <w:r w:rsidR="008D15D2">
        <w:rPr>
          <w:rStyle w:val="FootnoteReference"/>
          <w:rFonts w:ascii="Garamond" w:hAnsi="Garamond"/>
          <w:color w:val="000000" w:themeColor="text1"/>
          <w:shd w:val="clear" w:color="auto" w:fill="FFFFFF"/>
        </w:rPr>
        <w:footnoteReference w:id="185"/>
      </w:r>
      <w:r w:rsidRPr="001B1C7A">
        <w:rPr>
          <w:rFonts w:ascii="Garamond" w:hAnsi="Garamond"/>
          <w:color w:val="000000" w:themeColor="text1"/>
          <w:shd w:val="clear" w:color="auto" w:fill="FFFFFF"/>
        </w:rPr>
        <w:t xml:space="preserve"> The American Commission to Negotiate Peace agreed</w:t>
      </w:r>
      <w:r w:rsidR="00EC2ED7">
        <w:rPr>
          <w:rFonts w:ascii="Garamond" w:hAnsi="Garamond"/>
          <w:color w:val="000000" w:themeColor="text1"/>
          <w:shd w:val="clear" w:color="auto" w:fill="FFFFFF"/>
        </w:rPr>
        <w:t>; they wanted Yale to keep tabs on both Feisal and the British.</w:t>
      </w:r>
      <w:r w:rsidRPr="001B1C7A">
        <w:rPr>
          <w:rStyle w:val="FootnoteReference"/>
          <w:rFonts w:ascii="Garamond" w:hAnsi="Garamond"/>
          <w:color w:val="000000" w:themeColor="text1"/>
          <w:shd w:val="clear" w:color="auto" w:fill="FFFFFF"/>
        </w:rPr>
        <w:footnoteReference w:id="186"/>
      </w:r>
      <w:r w:rsidRPr="001B1C7A">
        <w:rPr>
          <w:rFonts w:ascii="Garamond" w:hAnsi="Garamond"/>
          <w:color w:val="000000" w:themeColor="text1"/>
          <w:shd w:val="clear" w:color="auto" w:fill="FFFFFF"/>
        </w:rPr>
        <w:t xml:space="preserve"> </w:t>
      </w:r>
      <w:r w:rsidR="0064630F">
        <w:rPr>
          <w:rFonts w:ascii="Garamond" w:hAnsi="Garamond"/>
          <w:color w:val="000000" w:themeColor="text1"/>
          <w:shd w:val="clear" w:color="auto" w:fill="FFFFFF"/>
        </w:rPr>
        <w:t>While</w:t>
      </w:r>
      <w:r w:rsidR="0064630F" w:rsidRPr="001B1C7A">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in London, this is not what Yale did. Upon arrival, Yale reported to the American Ambassador to Britain, John Davis. Davis was the Ambassador who complained to the British</w:t>
      </w:r>
      <w:r w:rsidR="0064630F">
        <w:rPr>
          <w:rFonts w:ascii="Garamond" w:hAnsi="Garamond"/>
          <w:color w:val="000000" w:themeColor="text1"/>
          <w:shd w:val="clear" w:color="auto" w:fill="FFFFFF"/>
        </w:rPr>
        <w:t xml:space="preserve"> Foreign Office</w:t>
      </w:r>
      <w:r w:rsidRPr="001B1C7A">
        <w:rPr>
          <w:rFonts w:ascii="Garamond" w:hAnsi="Garamond"/>
          <w:color w:val="000000" w:themeColor="text1"/>
          <w:shd w:val="clear" w:color="auto" w:fill="FFFFFF"/>
        </w:rPr>
        <w:t>, at Philips’ behest, after SOCONY’s letter of March 18, 1919.</w:t>
      </w:r>
      <w:r w:rsidRPr="001B1C7A">
        <w:rPr>
          <w:rStyle w:val="FootnoteReference"/>
          <w:rFonts w:ascii="Garamond" w:hAnsi="Garamond"/>
          <w:color w:val="000000" w:themeColor="text1"/>
          <w:shd w:val="clear" w:color="auto" w:fill="FFFFFF"/>
        </w:rPr>
        <w:footnoteReference w:id="187"/>
      </w:r>
      <w:r w:rsidRPr="001B1C7A">
        <w:rPr>
          <w:rFonts w:ascii="Garamond" w:hAnsi="Garamond"/>
          <w:color w:val="000000" w:themeColor="text1"/>
          <w:shd w:val="clear" w:color="auto" w:fill="FFFFFF"/>
        </w:rPr>
        <w:t xml:space="preserve"> In </w:t>
      </w:r>
      <w:r w:rsidR="00D272D4">
        <w:rPr>
          <w:rFonts w:ascii="Garamond" w:hAnsi="Garamond"/>
          <w:color w:val="000000" w:themeColor="text1"/>
          <w:shd w:val="clear" w:color="auto" w:fill="FFFFFF"/>
        </w:rPr>
        <w:t>a</w:t>
      </w:r>
      <w:r w:rsidRPr="001B1C7A">
        <w:rPr>
          <w:rFonts w:ascii="Garamond" w:hAnsi="Garamond"/>
          <w:color w:val="000000" w:themeColor="text1"/>
          <w:shd w:val="clear" w:color="auto" w:fill="FFFFFF"/>
        </w:rPr>
        <w:t xml:space="preserve"> meeting with Davis on September 29, Yale ask</w:t>
      </w:r>
      <w:r w:rsidR="00EC2ED7">
        <w:rPr>
          <w:rFonts w:ascii="Garamond" w:hAnsi="Garamond"/>
          <w:color w:val="000000" w:themeColor="text1"/>
          <w:shd w:val="clear" w:color="auto" w:fill="FFFFFF"/>
        </w:rPr>
        <w:t>ed</w:t>
      </w:r>
      <w:r w:rsidRPr="001B1C7A">
        <w:rPr>
          <w:rFonts w:ascii="Garamond" w:hAnsi="Garamond"/>
          <w:color w:val="000000" w:themeColor="text1"/>
          <w:shd w:val="clear" w:color="auto" w:fill="FFFFFF"/>
        </w:rPr>
        <w:t xml:space="preserve"> the Ambassador if he should discuss </w:t>
      </w:r>
      <w:r w:rsidR="00D272D4">
        <w:rPr>
          <w:rFonts w:ascii="Garamond" w:hAnsi="Garamond"/>
          <w:color w:val="000000" w:themeColor="text1"/>
          <w:shd w:val="clear" w:color="auto" w:fill="FFFFFF"/>
        </w:rPr>
        <w:lastRenderedPageBreak/>
        <w:t>oil</w:t>
      </w:r>
      <w:r w:rsidR="00EC2ED7">
        <w:rPr>
          <w:rFonts w:ascii="Garamond" w:hAnsi="Garamond"/>
          <w:color w:val="000000" w:themeColor="text1"/>
          <w:shd w:val="clear" w:color="auto" w:fill="FFFFFF"/>
        </w:rPr>
        <w:t xml:space="preserve"> policy </w:t>
      </w:r>
      <w:r w:rsidRPr="001B1C7A">
        <w:rPr>
          <w:rFonts w:ascii="Garamond" w:hAnsi="Garamond"/>
          <w:color w:val="000000" w:themeColor="text1"/>
          <w:shd w:val="clear" w:color="auto" w:fill="FFFFFF"/>
        </w:rPr>
        <w:t>with members of British society.</w:t>
      </w:r>
      <w:r w:rsidRPr="001B1C7A">
        <w:rPr>
          <w:rStyle w:val="FootnoteReference"/>
          <w:rFonts w:ascii="Garamond" w:hAnsi="Garamond"/>
          <w:color w:val="000000" w:themeColor="text1"/>
          <w:shd w:val="clear" w:color="auto" w:fill="FFFFFF"/>
        </w:rPr>
        <w:footnoteReference w:id="188"/>
      </w:r>
      <w:r w:rsidRPr="001B1C7A">
        <w:rPr>
          <w:rFonts w:ascii="Garamond" w:hAnsi="Garamond"/>
          <w:color w:val="000000" w:themeColor="text1"/>
          <w:shd w:val="clear" w:color="auto" w:fill="FFFFFF"/>
        </w:rPr>
        <w:t xml:space="preserve"> Davis gave Yale “advice and encouragement” but said that it would be unwise to “take notice of” Yale or give him “letters of introduction.”</w:t>
      </w:r>
      <w:r w:rsidRPr="001B1C7A">
        <w:rPr>
          <w:rStyle w:val="FootnoteReference"/>
          <w:rFonts w:ascii="Garamond" w:hAnsi="Garamond"/>
          <w:color w:val="000000" w:themeColor="text1"/>
          <w:shd w:val="clear" w:color="auto" w:fill="FFFFFF"/>
        </w:rPr>
        <w:footnoteReference w:id="189"/>
      </w:r>
      <w:r w:rsidRPr="001B1C7A">
        <w:rPr>
          <w:rFonts w:ascii="Garamond" w:hAnsi="Garamond"/>
          <w:color w:val="000000" w:themeColor="text1"/>
          <w:shd w:val="clear" w:color="auto" w:fill="FFFFFF"/>
        </w:rPr>
        <w:t xml:space="preserve"> </w:t>
      </w:r>
      <w:r w:rsidR="008D15D2">
        <w:rPr>
          <w:rFonts w:ascii="Garamond" w:hAnsi="Garamond"/>
          <w:color w:val="000000" w:themeColor="text1"/>
          <w:shd w:val="clear" w:color="auto" w:fill="FFFFFF"/>
        </w:rPr>
        <w:t>Or</w:t>
      </w:r>
      <w:r w:rsidRPr="001B1C7A">
        <w:rPr>
          <w:rFonts w:ascii="Garamond" w:hAnsi="Garamond"/>
          <w:color w:val="000000" w:themeColor="text1"/>
          <w:shd w:val="clear" w:color="auto" w:fill="FFFFFF"/>
        </w:rPr>
        <w:t xml:space="preserve">, </w:t>
      </w:r>
      <w:r w:rsidR="008D15D2">
        <w:rPr>
          <w:rFonts w:ascii="Garamond" w:hAnsi="Garamond"/>
          <w:color w:val="000000" w:themeColor="text1"/>
          <w:shd w:val="clear" w:color="auto" w:fill="FFFFFF"/>
        </w:rPr>
        <w:t>he</w:t>
      </w:r>
      <w:r w:rsidRPr="001B1C7A">
        <w:rPr>
          <w:rFonts w:ascii="Garamond" w:hAnsi="Garamond"/>
          <w:color w:val="000000" w:themeColor="text1"/>
          <w:shd w:val="clear" w:color="auto" w:fill="FFFFFF"/>
        </w:rPr>
        <w:t xml:space="preserve"> could not </w:t>
      </w:r>
      <w:r w:rsidR="0064630F">
        <w:rPr>
          <w:rFonts w:ascii="Garamond" w:hAnsi="Garamond"/>
          <w:color w:val="000000" w:themeColor="text1"/>
          <w:shd w:val="clear" w:color="auto" w:fill="FFFFFF"/>
        </w:rPr>
        <w:t>yet g</w:t>
      </w:r>
      <w:r w:rsidRPr="001B1C7A">
        <w:rPr>
          <w:rFonts w:ascii="Garamond" w:hAnsi="Garamond"/>
          <w:color w:val="000000" w:themeColor="text1"/>
          <w:shd w:val="clear" w:color="auto" w:fill="FFFFFF"/>
        </w:rPr>
        <w:t xml:space="preserve">ive official U.S. government support. Davis was the intermediary for much of the correspondence exchanged between Phillips and the Polk, so he was aware of Yale’s inclinations towards the </w:t>
      </w:r>
      <w:r w:rsidR="00C6532D">
        <w:rPr>
          <w:rFonts w:ascii="Garamond" w:hAnsi="Garamond"/>
          <w:color w:val="000000" w:themeColor="text1"/>
          <w:shd w:val="clear" w:color="auto" w:fill="FFFFFF"/>
        </w:rPr>
        <w:t>Open Doo</w:t>
      </w:r>
      <w:r w:rsidR="0064630F">
        <w:rPr>
          <w:rFonts w:ascii="Garamond" w:hAnsi="Garamond"/>
          <w:color w:val="000000" w:themeColor="text1"/>
          <w:shd w:val="clear" w:color="auto" w:fill="FFFFFF"/>
        </w:rPr>
        <w:t xml:space="preserve">r, the </w:t>
      </w:r>
      <w:r w:rsidRPr="001B1C7A">
        <w:rPr>
          <w:rFonts w:ascii="Garamond" w:hAnsi="Garamond"/>
          <w:color w:val="000000" w:themeColor="text1"/>
          <w:shd w:val="clear" w:color="auto" w:fill="FFFFFF"/>
        </w:rPr>
        <w:t xml:space="preserve">importance of Yale in </w:t>
      </w:r>
      <w:r w:rsidR="00CB32CF">
        <w:rPr>
          <w:rFonts w:ascii="Garamond" w:hAnsi="Garamond"/>
          <w:color w:val="000000" w:themeColor="text1"/>
          <w:shd w:val="clear" w:color="auto" w:fill="FFFFFF"/>
        </w:rPr>
        <w:t xml:space="preserve">providing primary </w:t>
      </w:r>
      <w:r w:rsidRPr="001B1C7A">
        <w:rPr>
          <w:rFonts w:ascii="Garamond" w:hAnsi="Garamond"/>
          <w:color w:val="000000" w:themeColor="text1"/>
          <w:shd w:val="clear" w:color="auto" w:fill="FFFFFF"/>
        </w:rPr>
        <w:t>intelligence assessments of the British’s harassment of Standard Oil in Palestine</w:t>
      </w:r>
      <w:r w:rsidR="0064630F">
        <w:rPr>
          <w:rFonts w:ascii="Garamond" w:hAnsi="Garamond"/>
          <w:color w:val="000000" w:themeColor="text1"/>
          <w:shd w:val="clear" w:color="auto" w:fill="FFFFFF"/>
        </w:rPr>
        <w:t xml:space="preserve"> and </w:t>
      </w:r>
      <w:r w:rsidR="00D272D4">
        <w:rPr>
          <w:rFonts w:ascii="Garamond" w:hAnsi="Garamond"/>
          <w:color w:val="000000" w:themeColor="text1"/>
          <w:shd w:val="clear" w:color="auto" w:fill="FFFFFF"/>
        </w:rPr>
        <w:t xml:space="preserve">the </w:t>
      </w:r>
      <w:r w:rsidR="0064630F">
        <w:rPr>
          <w:rFonts w:ascii="Garamond" w:hAnsi="Garamond"/>
          <w:color w:val="000000" w:themeColor="text1"/>
          <w:shd w:val="clear" w:color="auto" w:fill="FFFFFF"/>
        </w:rPr>
        <w:t xml:space="preserve">national security considerations of oil. </w:t>
      </w:r>
    </w:p>
    <w:p w14:paraId="4E56E005" w14:textId="647C698E" w:rsidR="0030323A" w:rsidRDefault="0030323A" w:rsidP="0030323A">
      <w:pPr>
        <w:pStyle w:val="Heading4"/>
        <w:numPr>
          <w:ilvl w:val="0"/>
          <w:numId w:val="38"/>
        </w:numPr>
        <w:rPr>
          <w:rFonts w:ascii="Garamond" w:eastAsia="Times New Roman" w:hAnsi="Garamond"/>
          <w:i w:val="0"/>
          <w:iCs w:val="0"/>
          <w:color w:val="000000" w:themeColor="text1"/>
          <w:shd w:val="clear" w:color="auto" w:fill="FFFFFF"/>
        </w:rPr>
      </w:pPr>
      <w:r w:rsidRPr="007F2178">
        <w:rPr>
          <w:rFonts w:ascii="Garamond" w:eastAsia="Times New Roman" w:hAnsi="Garamond"/>
          <w:i w:val="0"/>
          <w:iCs w:val="0"/>
          <w:color w:val="000000" w:themeColor="text1"/>
          <w:shd w:val="clear" w:color="auto" w:fill="FFFFFF"/>
        </w:rPr>
        <w:t>September 30: Polk’s Talk with Thomas causes him to tell Davis to Advocate for Open-Door (Letter)</w:t>
      </w:r>
    </w:p>
    <w:p w14:paraId="75DD100E" w14:textId="77777777" w:rsidR="0030323A" w:rsidRPr="007F2178" w:rsidRDefault="0030323A" w:rsidP="0030323A"/>
    <w:p w14:paraId="3CBDED09" w14:textId="33945DE0" w:rsidR="0030323A" w:rsidRPr="00EC2ED7" w:rsidRDefault="0030323A" w:rsidP="0030323A">
      <w:pPr>
        <w:spacing w:line="480" w:lineRule="auto"/>
        <w:ind w:firstLine="720"/>
        <w:rPr>
          <w:rFonts w:ascii="Garamond" w:hAnsi="Garamond"/>
          <w:color w:val="000000" w:themeColor="text1"/>
          <w:shd w:val="clear" w:color="auto" w:fill="FFFFFF"/>
        </w:rPr>
      </w:pPr>
      <w:r w:rsidRPr="00EC2ED7">
        <w:rPr>
          <w:rFonts w:ascii="Garamond" w:hAnsi="Garamond"/>
          <w:color w:val="000000" w:themeColor="text1"/>
          <w:shd w:val="clear" w:color="auto" w:fill="FFFFFF"/>
        </w:rPr>
        <w:t>Polk responded to Phillips’ September 18 note on September 30, a day after Yale’s check – in with Davis.</w:t>
      </w:r>
      <w:r w:rsidRPr="00EC2ED7">
        <w:rPr>
          <w:rStyle w:val="FootnoteReference"/>
          <w:rFonts w:ascii="Garamond" w:hAnsi="Garamond"/>
          <w:color w:val="000000" w:themeColor="text1"/>
          <w:shd w:val="clear" w:color="auto" w:fill="FFFFFF"/>
        </w:rPr>
        <w:footnoteReference w:id="190"/>
      </w:r>
      <w:r w:rsidRPr="00EC2ED7">
        <w:rPr>
          <w:rFonts w:ascii="Garamond" w:hAnsi="Garamond"/>
          <w:color w:val="000000" w:themeColor="text1"/>
          <w:shd w:val="clear" w:color="auto" w:fill="FFFFFF"/>
        </w:rPr>
        <w:t xml:space="preserve"> In the letter, Polk says “I have seen Mr. Thomas and have advised Ambassador Davis that he should endeavor to secure the removal of the British restrictions on the movements of the three American geologists.”</w:t>
      </w:r>
      <w:r w:rsidRPr="00EC2ED7">
        <w:rPr>
          <w:rStyle w:val="FootnoteReference"/>
          <w:rFonts w:ascii="Garamond" w:hAnsi="Garamond"/>
          <w:color w:val="000000" w:themeColor="text1"/>
          <w:shd w:val="clear" w:color="auto" w:fill="FFFFFF"/>
        </w:rPr>
        <w:footnoteReference w:id="191"/>
      </w:r>
      <w:r w:rsidRPr="00EC2ED7">
        <w:rPr>
          <w:rFonts w:ascii="Garamond" w:hAnsi="Garamond"/>
          <w:color w:val="000000" w:themeColor="text1"/>
          <w:shd w:val="clear" w:color="auto" w:fill="FFFFFF"/>
        </w:rPr>
        <w:t xml:space="preserve"> </w:t>
      </w:r>
      <w:r w:rsidR="00F16BB3">
        <w:rPr>
          <w:rFonts w:ascii="Garamond" w:hAnsi="Garamond"/>
          <w:color w:val="000000" w:themeColor="text1"/>
          <w:shd w:val="clear" w:color="auto" w:fill="FFFFFF"/>
        </w:rPr>
        <w:t>A</w:t>
      </w:r>
      <w:r w:rsidRPr="00EC2ED7">
        <w:rPr>
          <w:rFonts w:ascii="Garamond" w:hAnsi="Garamond"/>
          <w:color w:val="000000" w:themeColor="text1"/>
          <w:shd w:val="clear" w:color="auto" w:fill="FFFFFF"/>
        </w:rPr>
        <w:t xml:space="preserve"> letter from Polk asking Davis to advocate for </w:t>
      </w:r>
      <w:r w:rsidR="00C6532D">
        <w:rPr>
          <w:rFonts w:ascii="Garamond" w:hAnsi="Garamond"/>
          <w:color w:val="000000" w:themeColor="text1"/>
          <w:shd w:val="clear" w:color="auto" w:fill="FFFFFF"/>
        </w:rPr>
        <w:t>Open Door</w:t>
      </w:r>
      <w:r w:rsidRPr="00EC2ED7">
        <w:rPr>
          <w:rFonts w:ascii="Garamond" w:hAnsi="Garamond"/>
          <w:color w:val="000000" w:themeColor="text1"/>
          <w:shd w:val="clear" w:color="auto" w:fill="FFFFFF"/>
        </w:rPr>
        <w:t xml:space="preserve"> principles would only raise </w:t>
      </w:r>
      <w:r w:rsidR="00F16BB3">
        <w:rPr>
          <w:rFonts w:ascii="Garamond" w:hAnsi="Garamond"/>
          <w:color w:val="000000" w:themeColor="text1"/>
          <w:shd w:val="clear" w:color="auto" w:fill="FFFFFF"/>
        </w:rPr>
        <w:t>Davi</w:t>
      </w:r>
      <w:r w:rsidR="00BF1077">
        <w:rPr>
          <w:rFonts w:ascii="Garamond" w:hAnsi="Garamond"/>
          <w:color w:val="000000" w:themeColor="text1"/>
          <w:shd w:val="clear" w:color="auto" w:fill="FFFFFF"/>
        </w:rPr>
        <w:t>s</w:t>
      </w:r>
      <w:r w:rsidR="00F16BB3">
        <w:rPr>
          <w:rFonts w:ascii="Garamond" w:hAnsi="Garamond"/>
          <w:color w:val="000000" w:themeColor="text1"/>
          <w:shd w:val="clear" w:color="auto" w:fill="FFFFFF"/>
        </w:rPr>
        <w:t>’s tacit support for Yale</w:t>
      </w:r>
      <w:r w:rsidRPr="00EC2ED7">
        <w:rPr>
          <w:rFonts w:ascii="Garamond" w:hAnsi="Garamond"/>
          <w:color w:val="000000" w:themeColor="text1"/>
          <w:shd w:val="clear" w:color="auto" w:fill="FFFFFF"/>
        </w:rPr>
        <w:t xml:space="preserve">. </w:t>
      </w:r>
      <w:r w:rsidR="008D15D2">
        <w:rPr>
          <w:rFonts w:ascii="Garamond" w:hAnsi="Garamond"/>
          <w:color w:val="000000" w:themeColor="text1"/>
          <w:shd w:val="clear" w:color="auto" w:fill="FFFFFF"/>
        </w:rPr>
        <w:t xml:space="preserve">Thus, </w:t>
      </w:r>
      <w:r w:rsidRPr="00EC2ED7">
        <w:rPr>
          <w:rFonts w:ascii="Garamond" w:hAnsi="Garamond"/>
          <w:color w:val="000000" w:themeColor="text1"/>
          <w:shd w:val="clear" w:color="auto" w:fill="FFFFFF"/>
        </w:rPr>
        <w:t>Thomas</w:t>
      </w:r>
      <w:r w:rsidR="008D15D2">
        <w:rPr>
          <w:rFonts w:ascii="Garamond" w:hAnsi="Garamond"/>
          <w:color w:val="000000" w:themeColor="text1"/>
          <w:shd w:val="clear" w:color="auto" w:fill="FFFFFF"/>
        </w:rPr>
        <w:t>, through Polk, inclined</w:t>
      </w:r>
      <w:r w:rsidRPr="00EC2ED7">
        <w:rPr>
          <w:rFonts w:ascii="Garamond" w:hAnsi="Garamond"/>
          <w:color w:val="000000" w:themeColor="text1"/>
          <w:shd w:val="clear" w:color="auto" w:fill="FFFFFF"/>
        </w:rPr>
        <w:t xml:space="preserve"> Davis </w:t>
      </w:r>
      <w:r w:rsidR="008D15D2">
        <w:rPr>
          <w:rFonts w:ascii="Garamond" w:hAnsi="Garamond"/>
          <w:color w:val="000000" w:themeColor="text1"/>
          <w:shd w:val="clear" w:color="auto" w:fill="FFFFFF"/>
        </w:rPr>
        <w:t>towards</w:t>
      </w:r>
      <w:r w:rsidRPr="00EC2ED7">
        <w:rPr>
          <w:rFonts w:ascii="Garamond" w:hAnsi="Garamond"/>
          <w:color w:val="000000" w:themeColor="text1"/>
          <w:shd w:val="clear" w:color="auto" w:fill="FFFFFF"/>
        </w:rPr>
        <w:t xml:space="preserve"> the </w:t>
      </w:r>
      <w:r w:rsidR="00C6532D">
        <w:rPr>
          <w:rFonts w:ascii="Garamond" w:hAnsi="Garamond"/>
          <w:color w:val="000000" w:themeColor="text1"/>
          <w:shd w:val="clear" w:color="auto" w:fill="FFFFFF"/>
        </w:rPr>
        <w:t>Open Door</w:t>
      </w:r>
      <w:r w:rsidRPr="00EC2ED7">
        <w:rPr>
          <w:rFonts w:ascii="Garamond" w:hAnsi="Garamond"/>
          <w:color w:val="000000" w:themeColor="text1"/>
          <w:shd w:val="clear" w:color="auto" w:fill="FFFFFF"/>
        </w:rPr>
        <w:t xml:space="preserve"> while Yale was </w:t>
      </w:r>
      <w:r w:rsidR="008D15D2">
        <w:rPr>
          <w:rFonts w:ascii="Garamond" w:hAnsi="Garamond"/>
          <w:color w:val="000000" w:themeColor="text1"/>
          <w:shd w:val="clear" w:color="auto" w:fill="FFFFFF"/>
        </w:rPr>
        <w:t>interviewing</w:t>
      </w:r>
      <w:r w:rsidRPr="00EC2ED7">
        <w:rPr>
          <w:rFonts w:ascii="Garamond" w:hAnsi="Garamond"/>
          <w:color w:val="000000" w:themeColor="text1"/>
          <w:shd w:val="clear" w:color="auto" w:fill="FFFFFF"/>
        </w:rPr>
        <w:t xml:space="preserve"> British officials concerning petroleum. </w:t>
      </w:r>
    </w:p>
    <w:p w14:paraId="5D3B4729" w14:textId="77777777" w:rsidR="0030323A" w:rsidRPr="00EC2ED7" w:rsidRDefault="0030323A" w:rsidP="0030323A">
      <w:pPr>
        <w:pStyle w:val="Heading3"/>
        <w:numPr>
          <w:ilvl w:val="0"/>
          <w:numId w:val="42"/>
        </w:numPr>
        <w:rPr>
          <w:rFonts w:ascii="Garamond" w:eastAsia="Times New Roman" w:hAnsi="Garamond"/>
          <w:color w:val="000000" w:themeColor="text1"/>
          <w:shd w:val="clear" w:color="auto" w:fill="FFFFFF"/>
        </w:rPr>
      </w:pPr>
      <w:bookmarkStart w:id="56" w:name="_Toc66731807"/>
      <w:r w:rsidRPr="00EC2ED7">
        <w:rPr>
          <w:rFonts w:ascii="Garamond" w:eastAsia="Times New Roman" w:hAnsi="Garamond"/>
          <w:color w:val="000000" w:themeColor="text1"/>
          <w:shd w:val="clear" w:color="auto" w:fill="FFFFFF"/>
        </w:rPr>
        <w:t>Yale’s Meetings</w:t>
      </w:r>
      <w:bookmarkEnd w:id="56"/>
      <w:r w:rsidRPr="00EC2ED7">
        <w:rPr>
          <w:rFonts w:ascii="Garamond" w:eastAsia="Times New Roman" w:hAnsi="Garamond"/>
          <w:color w:val="000000" w:themeColor="text1"/>
          <w:shd w:val="clear" w:color="auto" w:fill="FFFFFF"/>
        </w:rPr>
        <w:t xml:space="preserve"> </w:t>
      </w:r>
    </w:p>
    <w:p w14:paraId="4625E861" w14:textId="77777777" w:rsidR="0030323A" w:rsidRPr="007F2178" w:rsidRDefault="0030323A" w:rsidP="0030323A"/>
    <w:p w14:paraId="3750AE13" w14:textId="5CAEA8F3" w:rsidR="0030323A" w:rsidRPr="00EC2ED7" w:rsidRDefault="0030323A" w:rsidP="0030323A">
      <w:pPr>
        <w:spacing w:line="480" w:lineRule="auto"/>
        <w:ind w:firstLine="720"/>
        <w:rPr>
          <w:rFonts w:ascii="Garamond" w:hAnsi="Garamond"/>
          <w:color w:val="000000" w:themeColor="text1"/>
        </w:rPr>
      </w:pPr>
      <w:r w:rsidRPr="00EC2ED7">
        <w:rPr>
          <w:rFonts w:ascii="Garamond" w:hAnsi="Garamond"/>
          <w:color w:val="000000" w:themeColor="text1"/>
          <w:shd w:val="clear" w:color="auto" w:fill="FFFFFF"/>
        </w:rPr>
        <w:t xml:space="preserve"> On Friday, October 3, Yale attended the first oil</w:t>
      </w:r>
      <w:r w:rsidR="0076088B">
        <w:rPr>
          <w:rFonts w:ascii="Garamond" w:hAnsi="Garamond"/>
          <w:color w:val="000000" w:themeColor="text1"/>
          <w:shd w:val="clear" w:color="auto" w:fill="FFFFFF"/>
        </w:rPr>
        <w:t>-</w:t>
      </w:r>
      <w:r w:rsidRPr="00EC2ED7">
        <w:rPr>
          <w:rFonts w:ascii="Garamond" w:hAnsi="Garamond"/>
          <w:color w:val="000000" w:themeColor="text1"/>
          <w:shd w:val="clear" w:color="auto" w:fill="FFFFFF"/>
        </w:rPr>
        <w:t xml:space="preserve">related meeting of his London campaign, with two British colonels who had fought </w:t>
      </w:r>
      <w:r w:rsidR="00A830AC">
        <w:rPr>
          <w:rFonts w:ascii="Garamond" w:hAnsi="Garamond"/>
          <w:color w:val="000000" w:themeColor="text1"/>
          <w:shd w:val="clear" w:color="auto" w:fill="FFFFFF"/>
        </w:rPr>
        <w:t>under</w:t>
      </w:r>
      <w:r w:rsidR="00A830AC" w:rsidRPr="00EC2ED7">
        <w:rPr>
          <w:rFonts w:ascii="Garamond" w:hAnsi="Garamond"/>
          <w:color w:val="000000" w:themeColor="text1"/>
          <w:shd w:val="clear" w:color="auto" w:fill="FFFFFF"/>
        </w:rPr>
        <w:t xml:space="preserve"> </w:t>
      </w:r>
      <w:r w:rsidRPr="00EC2ED7">
        <w:rPr>
          <w:rFonts w:ascii="Garamond" w:hAnsi="Garamond"/>
          <w:color w:val="000000" w:themeColor="text1"/>
          <w:shd w:val="clear" w:color="auto" w:fill="FFFFFF"/>
        </w:rPr>
        <w:t>Allenby in the Levant. Although Yale’s mandate was to keep tabs on Feisal, Yale says in this first meeting that the “</w:t>
      </w:r>
      <w:r w:rsidRPr="00EC2ED7">
        <w:rPr>
          <w:rFonts w:ascii="Garamond" w:hAnsi="Garamond"/>
          <w:color w:val="000000" w:themeColor="text1"/>
        </w:rPr>
        <w:t>United States would not stand for the monopoly of Mesopotamian oil fields by the British.”</w:t>
      </w:r>
      <w:r w:rsidRPr="00EC2ED7">
        <w:rPr>
          <w:rStyle w:val="FootnoteReference"/>
          <w:rFonts w:ascii="Garamond" w:hAnsi="Garamond"/>
          <w:color w:val="000000" w:themeColor="text1"/>
        </w:rPr>
        <w:footnoteReference w:id="192"/>
      </w:r>
      <w:r w:rsidR="0079682F">
        <w:rPr>
          <w:rFonts w:ascii="Garamond" w:hAnsi="Garamond"/>
          <w:color w:val="000000" w:themeColor="text1"/>
        </w:rPr>
        <w:t xml:space="preserve"> </w:t>
      </w:r>
      <w:r w:rsidRPr="00EC2ED7">
        <w:rPr>
          <w:rFonts w:ascii="Garamond" w:hAnsi="Garamond"/>
          <w:color w:val="000000" w:themeColor="text1"/>
        </w:rPr>
        <w:t xml:space="preserve">Yale’s advocacy in the beginning of October is the fusion of Yale’s opinions on British exclusionary practices and of Thomas’s attempts to influence thoughts towards the </w:t>
      </w:r>
      <w:r w:rsidR="00C6532D">
        <w:rPr>
          <w:rFonts w:ascii="Garamond" w:hAnsi="Garamond"/>
          <w:color w:val="000000" w:themeColor="text1"/>
        </w:rPr>
        <w:t>Open Door</w:t>
      </w:r>
      <w:r w:rsidR="0079682F">
        <w:rPr>
          <w:rFonts w:ascii="Garamond" w:hAnsi="Garamond"/>
          <w:color w:val="000000" w:themeColor="text1"/>
        </w:rPr>
        <w:t>.</w:t>
      </w:r>
      <w:r w:rsidR="008D15D2">
        <w:rPr>
          <w:rFonts w:ascii="Garamond" w:hAnsi="Garamond"/>
          <w:color w:val="000000" w:themeColor="text1"/>
        </w:rPr>
        <w:t xml:space="preserve"> However, Yale U.S.</w:t>
      </w:r>
      <w:r w:rsidR="00737295">
        <w:rPr>
          <w:rFonts w:ascii="Garamond" w:hAnsi="Garamond"/>
          <w:color w:val="000000" w:themeColor="text1"/>
        </w:rPr>
        <w:t>’s</w:t>
      </w:r>
      <w:r w:rsidR="008D15D2">
        <w:rPr>
          <w:rFonts w:ascii="Garamond" w:hAnsi="Garamond"/>
          <w:color w:val="000000" w:themeColor="text1"/>
        </w:rPr>
        <w:t xml:space="preserve"> national security </w:t>
      </w:r>
      <w:r w:rsidR="00737295">
        <w:rPr>
          <w:rFonts w:ascii="Garamond" w:hAnsi="Garamond"/>
          <w:color w:val="000000" w:themeColor="text1"/>
        </w:rPr>
        <w:t xml:space="preserve">acumen is  </w:t>
      </w:r>
      <w:r w:rsidR="008D15D2">
        <w:rPr>
          <w:rFonts w:ascii="Garamond" w:hAnsi="Garamond"/>
          <w:color w:val="000000" w:themeColor="text1"/>
        </w:rPr>
        <w:lastRenderedPageBreak/>
        <w:t xml:space="preserve">informing Yale’s advocacy of the Open Door; Thomas only helped Yale attain his position of importance. </w:t>
      </w:r>
    </w:p>
    <w:p w14:paraId="2D32EAC4" w14:textId="5F587FF6" w:rsidR="0030323A" w:rsidRPr="001B1C7A" w:rsidRDefault="0030323A" w:rsidP="0030323A">
      <w:pPr>
        <w:spacing w:line="480" w:lineRule="auto"/>
        <w:ind w:firstLine="720"/>
        <w:rPr>
          <w:rFonts w:ascii="Garamond" w:hAnsi="Garamond"/>
          <w:color w:val="000000" w:themeColor="text1"/>
        </w:rPr>
      </w:pPr>
      <w:r w:rsidRPr="00EC2ED7">
        <w:rPr>
          <w:rFonts w:ascii="Garamond" w:hAnsi="Garamond"/>
          <w:color w:val="000000" w:themeColor="text1"/>
        </w:rPr>
        <w:t>Yale proceed</w:t>
      </w:r>
      <w:r w:rsidR="00092EED">
        <w:rPr>
          <w:rFonts w:ascii="Garamond" w:hAnsi="Garamond"/>
          <w:color w:val="000000" w:themeColor="text1"/>
        </w:rPr>
        <w:t>ed</w:t>
      </w:r>
      <w:r w:rsidRPr="00EC2ED7">
        <w:rPr>
          <w:rFonts w:ascii="Garamond" w:hAnsi="Garamond"/>
          <w:color w:val="000000" w:themeColor="text1"/>
        </w:rPr>
        <w:t xml:space="preserve"> to </w:t>
      </w:r>
      <w:r w:rsidR="00092EED">
        <w:rPr>
          <w:rFonts w:ascii="Garamond" w:hAnsi="Garamond"/>
          <w:color w:val="000000" w:themeColor="text1"/>
        </w:rPr>
        <w:t>hold</w:t>
      </w:r>
      <w:r w:rsidR="00092EED" w:rsidRPr="00EC2ED7">
        <w:rPr>
          <w:rFonts w:ascii="Garamond" w:hAnsi="Garamond"/>
          <w:color w:val="000000" w:themeColor="text1"/>
        </w:rPr>
        <w:t xml:space="preserve"> </w:t>
      </w:r>
      <w:r w:rsidRPr="00EC2ED7">
        <w:rPr>
          <w:rFonts w:ascii="Garamond" w:hAnsi="Garamond"/>
          <w:color w:val="000000" w:themeColor="text1"/>
        </w:rPr>
        <w:t>a version of this conversation with many other high</w:t>
      </w:r>
      <w:r w:rsidR="0076088B">
        <w:rPr>
          <w:rFonts w:ascii="Garamond" w:hAnsi="Garamond"/>
          <w:color w:val="000000" w:themeColor="text1"/>
        </w:rPr>
        <w:t>-</w:t>
      </w:r>
      <w:r w:rsidRPr="00EC2ED7">
        <w:rPr>
          <w:rFonts w:ascii="Garamond" w:hAnsi="Garamond"/>
          <w:color w:val="000000" w:themeColor="text1"/>
        </w:rPr>
        <w:t>level British officials – and beg</w:t>
      </w:r>
      <w:r w:rsidR="008D15D2">
        <w:rPr>
          <w:rFonts w:ascii="Garamond" w:hAnsi="Garamond"/>
          <w:color w:val="000000" w:themeColor="text1"/>
        </w:rPr>
        <w:t>an</w:t>
      </w:r>
      <w:r w:rsidRPr="00EC2ED7">
        <w:rPr>
          <w:rFonts w:ascii="Garamond" w:hAnsi="Garamond"/>
          <w:color w:val="000000" w:themeColor="text1"/>
        </w:rPr>
        <w:t xml:space="preserve"> to further advocate for his policy ideas. On October 6, Yale </w:t>
      </w:r>
      <w:r w:rsidR="00CB32CF">
        <w:rPr>
          <w:rFonts w:ascii="Garamond" w:hAnsi="Garamond"/>
          <w:color w:val="000000" w:themeColor="text1"/>
        </w:rPr>
        <w:t>met</w:t>
      </w:r>
      <w:r w:rsidR="00CB32CF" w:rsidRPr="00EC2ED7">
        <w:rPr>
          <w:rFonts w:ascii="Garamond" w:hAnsi="Garamond"/>
          <w:color w:val="000000" w:themeColor="text1"/>
        </w:rPr>
        <w:t xml:space="preserve"> </w:t>
      </w:r>
      <w:r w:rsidRPr="00EC2ED7">
        <w:rPr>
          <w:rFonts w:ascii="Garamond" w:hAnsi="Garamond"/>
          <w:color w:val="000000" w:themeColor="text1"/>
        </w:rPr>
        <w:t xml:space="preserve">with David Hogarth, a British Middle Eastern </w:t>
      </w:r>
      <w:r w:rsidR="00CB32CF">
        <w:rPr>
          <w:rFonts w:ascii="Garamond" w:hAnsi="Garamond"/>
          <w:color w:val="000000" w:themeColor="text1"/>
        </w:rPr>
        <w:t>e</w:t>
      </w:r>
      <w:r w:rsidR="00CB32CF">
        <w:rPr>
          <w:rFonts w:ascii="Garamond" w:hAnsi="Garamond"/>
          <w:color w:val="000000" w:themeColor="text1"/>
        </w:rPr>
        <w:softHyphen/>
      </w:r>
      <w:r w:rsidRPr="00EC2ED7">
        <w:rPr>
          <w:rFonts w:ascii="Garamond" w:hAnsi="Garamond"/>
          <w:color w:val="000000" w:themeColor="text1"/>
        </w:rPr>
        <w:t>xpert.</w:t>
      </w:r>
      <w:r w:rsidRPr="00EC2ED7">
        <w:rPr>
          <w:rStyle w:val="FootnoteReference"/>
          <w:rFonts w:ascii="Garamond" w:hAnsi="Garamond"/>
          <w:color w:val="000000" w:themeColor="text1"/>
        </w:rPr>
        <w:footnoteReference w:id="193"/>
      </w:r>
      <w:r w:rsidRPr="00EC2ED7">
        <w:rPr>
          <w:rFonts w:ascii="Garamond" w:hAnsi="Garamond"/>
          <w:color w:val="000000" w:themeColor="text1"/>
        </w:rPr>
        <w:t xml:space="preserve"> Again, Yale </w:t>
      </w:r>
      <w:r w:rsidR="00C54A7D">
        <w:rPr>
          <w:rFonts w:ascii="Garamond" w:hAnsi="Garamond"/>
          <w:color w:val="000000" w:themeColor="text1"/>
        </w:rPr>
        <w:t>reiterate</w:t>
      </w:r>
      <w:r w:rsidR="008D15D2">
        <w:rPr>
          <w:rFonts w:ascii="Garamond" w:hAnsi="Garamond"/>
          <w:color w:val="000000" w:themeColor="text1"/>
        </w:rPr>
        <w:t>d</w:t>
      </w:r>
      <w:r w:rsidR="00C54A7D">
        <w:rPr>
          <w:rFonts w:ascii="Garamond" w:hAnsi="Garamond"/>
          <w:color w:val="000000" w:themeColor="text1"/>
        </w:rPr>
        <w:t xml:space="preserve"> that the U.S. would not stand for a British monopoly in </w:t>
      </w:r>
      <w:r w:rsidR="00515DA9">
        <w:rPr>
          <w:rFonts w:ascii="Garamond" w:hAnsi="Garamond"/>
          <w:color w:val="000000" w:themeColor="text1"/>
        </w:rPr>
        <w:t>Mesopotamia.</w:t>
      </w:r>
      <w:r w:rsidRPr="00EC2ED7">
        <w:rPr>
          <w:rFonts w:ascii="Garamond" w:hAnsi="Garamond"/>
          <w:color w:val="000000" w:themeColor="text1"/>
        </w:rPr>
        <w:t xml:space="preserve"> Yale continue</w:t>
      </w:r>
      <w:r w:rsidR="008D15D2">
        <w:rPr>
          <w:rFonts w:ascii="Garamond" w:hAnsi="Garamond"/>
          <w:color w:val="000000" w:themeColor="text1"/>
        </w:rPr>
        <w:t>d</w:t>
      </w:r>
      <w:r w:rsidRPr="00EC2ED7">
        <w:rPr>
          <w:rFonts w:ascii="Garamond" w:hAnsi="Garamond"/>
          <w:color w:val="000000" w:themeColor="text1"/>
        </w:rPr>
        <w:t xml:space="preserve">, however, by detailing an idea that would eventually take the form of </w:t>
      </w:r>
      <w:r w:rsidR="0076088B">
        <w:rPr>
          <w:rFonts w:ascii="Garamond" w:hAnsi="Garamond"/>
          <w:color w:val="000000" w:themeColor="text1"/>
        </w:rPr>
        <w:t xml:space="preserve">what was known as </w:t>
      </w:r>
      <w:r w:rsidRPr="00EC2ED7">
        <w:rPr>
          <w:rFonts w:ascii="Garamond" w:hAnsi="Garamond"/>
          <w:color w:val="000000" w:themeColor="text1"/>
        </w:rPr>
        <w:t>the Yale Plan.</w:t>
      </w:r>
      <w:r w:rsidR="0076088B">
        <w:rPr>
          <w:rStyle w:val="FootnoteReference"/>
          <w:rFonts w:ascii="Garamond" w:hAnsi="Garamond"/>
          <w:color w:val="000000" w:themeColor="text1"/>
        </w:rPr>
        <w:footnoteReference w:id="194"/>
      </w:r>
      <w:r w:rsidRPr="00EC2ED7">
        <w:rPr>
          <w:rFonts w:ascii="Garamond" w:hAnsi="Garamond"/>
          <w:color w:val="000000" w:themeColor="text1"/>
        </w:rPr>
        <w:t xml:space="preserve"> Yale “showed him {Hogarth} that Great Britain could, in times of war, absolutely control the oil of Mesopotamia if the pipe – lines were under British Government control.”</w:t>
      </w:r>
      <w:r w:rsidRPr="00EC2ED7">
        <w:rPr>
          <w:rStyle w:val="FootnoteReference"/>
          <w:rFonts w:ascii="Garamond" w:hAnsi="Garamond"/>
          <w:color w:val="000000" w:themeColor="text1"/>
        </w:rPr>
        <w:footnoteReference w:id="195"/>
      </w:r>
      <w:r w:rsidRPr="00EC2ED7">
        <w:rPr>
          <w:rFonts w:ascii="Garamond" w:hAnsi="Garamond"/>
          <w:color w:val="000000" w:themeColor="text1"/>
        </w:rPr>
        <w:t xml:space="preserve"> According to </w:t>
      </w:r>
      <w:r w:rsidR="00C54A7D">
        <w:rPr>
          <w:rFonts w:ascii="Garamond" w:hAnsi="Garamond"/>
          <w:color w:val="000000" w:themeColor="text1"/>
        </w:rPr>
        <w:t>Walter Long</w:t>
      </w:r>
      <w:r w:rsidRPr="00EC2ED7">
        <w:rPr>
          <w:rFonts w:ascii="Garamond" w:hAnsi="Garamond"/>
          <w:color w:val="000000" w:themeColor="text1"/>
        </w:rPr>
        <w:t>, “it is only during the war that they have awakened {the U.S.} to the fact that they must obtain oil supplies outside the U.S.A. if they are to maintain their monopolistic position.”</w:t>
      </w:r>
      <w:r w:rsidRPr="00EC2ED7">
        <w:rPr>
          <w:rStyle w:val="FootnoteReference"/>
          <w:rFonts w:ascii="Garamond" w:hAnsi="Garamond"/>
          <w:color w:val="000000" w:themeColor="text1"/>
        </w:rPr>
        <w:footnoteReference w:id="196"/>
      </w:r>
      <w:r w:rsidRPr="00EC2ED7">
        <w:rPr>
          <w:rFonts w:ascii="Garamond" w:hAnsi="Garamond"/>
          <w:color w:val="000000" w:themeColor="text1"/>
        </w:rPr>
        <w:t xml:space="preserve"> Policymakers in both the U.S and Britain were not scared of an oil shortage during peacetime; they were scared of an oil shortage during war. </w:t>
      </w:r>
      <w:r w:rsidR="00C54A7D">
        <w:rPr>
          <w:rFonts w:ascii="Garamond" w:hAnsi="Garamond"/>
          <w:color w:val="000000" w:themeColor="text1"/>
        </w:rPr>
        <w:t>Th</w:t>
      </w:r>
      <w:r w:rsidRPr="00EC2ED7">
        <w:rPr>
          <w:rFonts w:ascii="Garamond" w:hAnsi="Garamond"/>
          <w:color w:val="000000" w:themeColor="text1"/>
        </w:rPr>
        <w:t xml:space="preserve">is </w:t>
      </w:r>
      <w:r w:rsidR="00C54A7D">
        <w:rPr>
          <w:rFonts w:ascii="Garamond" w:hAnsi="Garamond"/>
          <w:color w:val="000000" w:themeColor="text1"/>
        </w:rPr>
        <w:t xml:space="preserve">is </w:t>
      </w:r>
      <w:r w:rsidRPr="00EC2ED7">
        <w:rPr>
          <w:rFonts w:ascii="Garamond" w:hAnsi="Garamond"/>
          <w:color w:val="000000" w:themeColor="text1"/>
        </w:rPr>
        <w:t xml:space="preserve">why </w:t>
      </w:r>
      <w:r w:rsidR="00C54A7D">
        <w:rPr>
          <w:rFonts w:ascii="Garamond" w:hAnsi="Garamond"/>
          <w:color w:val="000000" w:themeColor="text1"/>
        </w:rPr>
        <w:t>Yale</w:t>
      </w:r>
      <w:r w:rsidRPr="00EC2ED7">
        <w:rPr>
          <w:rFonts w:ascii="Garamond" w:hAnsi="Garamond"/>
          <w:color w:val="000000" w:themeColor="text1"/>
        </w:rPr>
        <w:t xml:space="preserve"> began presenting a plan to high -level British policymakers that</w:t>
      </w:r>
      <w:r w:rsidRPr="001B1C7A">
        <w:rPr>
          <w:rFonts w:ascii="Garamond" w:hAnsi="Garamond"/>
          <w:color w:val="000000" w:themeColor="text1"/>
        </w:rPr>
        <w:t xml:space="preserve"> would allow U.S. firms to enter Mesopotamia while the British retained ultimate control of oil flows. </w:t>
      </w:r>
      <w:r w:rsidR="00A830AC">
        <w:rPr>
          <w:rFonts w:ascii="Garamond" w:hAnsi="Garamond"/>
          <w:color w:val="000000" w:themeColor="text1"/>
        </w:rPr>
        <w:t xml:space="preserve">Yale’s plan was </w:t>
      </w:r>
      <w:r w:rsidR="006F614B">
        <w:rPr>
          <w:rFonts w:ascii="Garamond" w:hAnsi="Garamond"/>
          <w:color w:val="000000" w:themeColor="text1"/>
        </w:rPr>
        <w:t>reminiscent</w:t>
      </w:r>
      <w:r w:rsidR="00A830AC">
        <w:rPr>
          <w:rFonts w:ascii="Garamond" w:hAnsi="Garamond"/>
          <w:color w:val="000000" w:themeColor="text1"/>
        </w:rPr>
        <w:t xml:space="preserve"> of </w:t>
      </w:r>
      <w:r w:rsidR="00C54A7D">
        <w:rPr>
          <w:rFonts w:ascii="Garamond" w:hAnsi="Garamond"/>
          <w:color w:val="000000" w:themeColor="text1"/>
        </w:rPr>
        <w:t>the</w:t>
      </w:r>
      <w:r w:rsidR="006F614B">
        <w:rPr>
          <w:rFonts w:ascii="Garamond" w:hAnsi="Garamond"/>
          <w:color w:val="000000" w:themeColor="text1"/>
        </w:rPr>
        <w:t xml:space="preserve"> plan proposed </w:t>
      </w:r>
      <w:r w:rsidR="00695690">
        <w:rPr>
          <w:rFonts w:ascii="Garamond" w:hAnsi="Garamond"/>
          <w:color w:val="000000" w:themeColor="text1"/>
        </w:rPr>
        <w:t>in 1913</w:t>
      </w:r>
      <w:r w:rsidR="006F614B">
        <w:rPr>
          <w:rFonts w:ascii="Garamond" w:hAnsi="Garamond"/>
          <w:color w:val="000000" w:themeColor="text1"/>
        </w:rPr>
        <w:t>, by Secretary of the Navy Daniels.</w:t>
      </w:r>
      <w:r w:rsidR="006F614B">
        <w:rPr>
          <w:rStyle w:val="FootnoteReference"/>
          <w:rFonts w:ascii="Garamond" w:hAnsi="Garamond"/>
          <w:color w:val="000000" w:themeColor="text1"/>
        </w:rPr>
        <w:footnoteReference w:id="197"/>
      </w:r>
      <w:r w:rsidR="006F614B">
        <w:rPr>
          <w:rFonts w:ascii="Garamond" w:hAnsi="Garamond"/>
          <w:color w:val="000000" w:themeColor="text1"/>
        </w:rPr>
        <w:t xml:space="preserve"> </w:t>
      </w:r>
    </w:p>
    <w:p w14:paraId="15652F35" w14:textId="3333C4A9"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On October 9, three days later, Yale </w:t>
      </w:r>
      <w:r w:rsidR="00695690">
        <w:rPr>
          <w:rFonts w:ascii="Garamond" w:hAnsi="Garamond"/>
          <w:color w:val="000000" w:themeColor="text1"/>
        </w:rPr>
        <w:t>held</w:t>
      </w:r>
      <w:r w:rsidRPr="001B1C7A">
        <w:rPr>
          <w:rFonts w:ascii="Garamond" w:hAnsi="Garamond"/>
          <w:color w:val="000000" w:themeColor="text1"/>
        </w:rPr>
        <w:t xml:space="preserve"> this same meeting with Lord Robert Cecil, Under Secretary of State to the Foreign Office during World War I.</w:t>
      </w:r>
      <w:r w:rsidRPr="001B1C7A">
        <w:rPr>
          <w:rStyle w:val="FootnoteReference"/>
          <w:rFonts w:ascii="Garamond" w:hAnsi="Garamond"/>
          <w:color w:val="000000" w:themeColor="text1"/>
        </w:rPr>
        <w:footnoteReference w:id="198"/>
      </w:r>
      <w:r w:rsidRPr="001B1C7A">
        <w:rPr>
          <w:rFonts w:ascii="Garamond" w:hAnsi="Garamond"/>
          <w:color w:val="000000" w:themeColor="text1"/>
        </w:rPr>
        <w:t xml:space="preserve"> According to Yale “Lord Cecil was interested in this question and the solution I outlined.”</w:t>
      </w:r>
      <w:r w:rsidRPr="001B1C7A">
        <w:rPr>
          <w:rStyle w:val="FootnoteReference"/>
          <w:rFonts w:ascii="Garamond" w:hAnsi="Garamond"/>
          <w:color w:val="000000" w:themeColor="text1"/>
        </w:rPr>
        <w:footnoteReference w:id="199"/>
      </w:r>
      <w:r w:rsidRPr="001B1C7A">
        <w:rPr>
          <w:rFonts w:ascii="Garamond" w:hAnsi="Garamond"/>
          <w:color w:val="000000" w:themeColor="text1"/>
        </w:rPr>
        <w:t xml:space="preserve"> Next, Yale </w:t>
      </w:r>
      <w:r w:rsidR="00CB32CF">
        <w:rPr>
          <w:rFonts w:ascii="Garamond" w:hAnsi="Garamond"/>
          <w:color w:val="000000" w:themeColor="text1"/>
        </w:rPr>
        <w:t>met</w:t>
      </w:r>
      <w:r w:rsidR="00CB32CF" w:rsidRPr="001B1C7A">
        <w:rPr>
          <w:rFonts w:ascii="Garamond" w:hAnsi="Garamond"/>
          <w:color w:val="000000" w:themeColor="text1"/>
        </w:rPr>
        <w:t xml:space="preserve"> </w:t>
      </w:r>
      <w:r w:rsidRPr="001B1C7A">
        <w:rPr>
          <w:rFonts w:ascii="Garamond" w:hAnsi="Garamond"/>
          <w:color w:val="000000" w:themeColor="text1"/>
        </w:rPr>
        <w:t xml:space="preserve">with James Garvin, editor of the paper </w:t>
      </w:r>
      <w:r w:rsidRPr="001B1C7A">
        <w:rPr>
          <w:rFonts w:ascii="Garamond" w:hAnsi="Garamond"/>
          <w:i/>
          <w:iCs/>
          <w:color w:val="000000" w:themeColor="text1"/>
        </w:rPr>
        <w:t>The Observer</w:t>
      </w:r>
      <w:r w:rsidRPr="001B1C7A">
        <w:rPr>
          <w:rFonts w:ascii="Garamond" w:hAnsi="Garamond"/>
          <w:color w:val="000000" w:themeColor="text1"/>
        </w:rPr>
        <w:t xml:space="preserve">. Yale told Garvin that the concerns of the British Admiralty could be allayed by “the British Government or British petroleum interests owning and operating the </w:t>
      </w:r>
      <w:r w:rsidRPr="001B1C7A">
        <w:rPr>
          <w:rFonts w:ascii="Garamond" w:hAnsi="Garamond"/>
          <w:color w:val="000000" w:themeColor="text1"/>
        </w:rPr>
        <w:lastRenderedPageBreak/>
        <w:t>pipelines by which Mesopotamia oil would be brought.”</w:t>
      </w:r>
      <w:r w:rsidRPr="001B1C7A">
        <w:rPr>
          <w:rStyle w:val="FootnoteReference"/>
          <w:rFonts w:ascii="Garamond" w:hAnsi="Garamond"/>
          <w:color w:val="000000" w:themeColor="text1"/>
        </w:rPr>
        <w:footnoteReference w:id="200"/>
      </w:r>
      <w:r w:rsidRPr="001B1C7A">
        <w:rPr>
          <w:rFonts w:ascii="Garamond" w:hAnsi="Garamond"/>
          <w:color w:val="000000" w:themeColor="text1"/>
        </w:rPr>
        <w:t xml:space="preserve"> </w:t>
      </w:r>
      <w:r w:rsidR="00695690">
        <w:rPr>
          <w:rFonts w:ascii="Garamond" w:hAnsi="Garamond"/>
          <w:color w:val="000000" w:themeColor="text1"/>
        </w:rPr>
        <w:t>B</w:t>
      </w:r>
      <w:r w:rsidRPr="001B1C7A">
        <w:rPr>
          <w:rFonts w:ascii="Garamond" w:hAnsi="Garamond"/>
          <w:color w:val="000000" w:themeColor="text1"/>
        </w:rPr>
        <w:t xml:space="preserve">y courting newspapers, Yale was attempting to shape </w:t>
      </w:r>
      <w:r w:rsidR="00C54A7D">
        <w:rPr>
          <w:rFonts w:ascii="Garamond" w:hAnsi="Garamond"/>
          <w:color w:val="000000" w:themeColor="text1"/>
        </w:rPr>
        <w:t xml:space="preserve">potential </w:t>
      </w:r>
      <w:r w:rsidRPr="001B1C7A">
        <w:rPr>
          <w:rFonts w:ascii="Garamond" w:hAnsi="Garamond"/>
          <w:color w:val="000000" w:themeColor="text1"/>
        </w:rPr>
        <w:t xml:space="preserve">public opinion around his proposed Yale Plan. </w:t>
      </w:r>
    </w:p>
    <w:p w14:paraId="65D0BB19" w14:textId="160CE778"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Yale’s most significant meetings</w:t>
      </w:r>
      <w:r w:rsidR="00CB32CF">
        <w:rPr>
          <w:rFonts w:ascii="Garamond" w:hAnsi="Garamond"/>
          <w:color w:val="000000" w:themeColor="text1"/>
        </w:rPr>
        <w:t xml:space="preserve"> </w:t>
      </w:r>
      <w:r w:rsidRPr="001B1C7A">
        <w:rPr>
          <w:rFonts w:ascii="Garamond" w:hAnsi="Garamond"/>
          <w:color w:val="000000" w:themeColor="text1"/>
        </w:rPr>
        <w:t>were with McMahon and Allenby.</w:t>
      </w:r>
      <w:r w:rsidRPr="001B1C7A">
        <w:rPr>
          <w:rStyle w:val="FootnoteReference"/>
          <w:rFonts w:ascii="Garamond" w:hAnsi="Garamond"/>
          <w:color w:val="000000" w:themeColor="text1"/>
        </w:rPr>
        <w:footnoteReference w:id="201"/>
      </w:r>
      <w:r w:rsidRPr="001B1C7A">
        <w:rPr>
          <w:rFonts w:ascii="Garamond" w:hAnsi="Garamond"/>
          <w:color w:val="000000" w:themeColor="text1"/>
        </w:rPr>
        <w:t xml:space="preserve"> Yale floated </w:t>
      </w:r>
      <w:r w:rsidR="008D15D2">
        <w:rPr>
          <w:rFonts w:ascii="Garamond" w:hAnsi="Garamond"/>
          <w:color w:val="000000" w:themeColor="text1"/>
        </w:rPr>
        <w:t>the</w:t>
      </w:r>
      <w:r w:rsidRPr="001B1C7A">
        <w:rPr>
          <w:rFonts w:ascii="Garamond" w:hAnsi="Garamond"/>
          <w:color w:val="000000" w:themeColor="text1"/>
        </w:rPr>
        <w:t xml:space="preserve"> Yale Plan to McMahon who was “personally most anxious that such a solution would be reached as would fulfill the promises he had made to the Arabs.”</w:t>
      </w:r>
      <w:r w:rsidRPr="001B1C7A">
        <w:rPr>
          <w:rStyle w:val="FootnoteReference"/>
          <w:rFonts w:ascii="Garamond" w:hAnsi="Garamond"/>
          <w:color w:val="000000" w:themeColor="text1"/>
        </w:rPr>
        <w:footnoteReference w:id="202"/>
      </w:r>
      <w:r w:rsidRPr="001B1C7A">
        <w:rPr>
          <w:rFonts w:ascii="Garamond" w:hAnsi="Garamond"/>
          <w:color w:val="000000" w:themeColor="text1"/>
        </w:rPr>
        <w:t xml:space="preserve"> On October 11, with Allenby, Yale “expressed the same views … with other Britishers.”</w:t>
      </w:r>
      <w:r w:rsidRPr="001B1C7A">
        <w:rPr>
          <w:rStyle w:val="FootnoteReference"/>
          <w:rFonts w:ascii="Garamond" w:hAnsi="Garamond"/>
          <w:color w:val="000000" w:themeColor="text1"/>
        </w:rPr>
        <w:footnoteReference w:id="203"/>
      </w:r>
      <w:r w:rsidRPr="001B1C7A">
        <w:rPr>
          <w:rFonts w:ascii="Garamond" w:hAnsi="Garamond"/>
          <w:color w:val="000000" w:themeColor="text1"/>
        </w:rPr>
        <w:t xml:space="preserve"> Allenby was cordial to Yale’s proposal. </w:t>
      </w:r>
    </w:p>
    <w:p w14:paraId="13A6ACCA" w14:textId="62049B67"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After having reached the highest echelons of Britain’s Middle East campaigns, Yale concluded his oil advocacy in London. Before he left on October 14, he gave Davis an account of his interviews.</w:t>
      </w:r>
      <w:r w:rsidRPr="001B1C7A">
        <w:rPr>
          <w:rStyle w:val="FootnoteReference"/>
          <w:rFonts w:ascii="Garamond" w:hAnsi="Garamond"/>
          <w:color w:val="000000" w:themeColor="text1"/>
        </w:rPr>
        <w:footnoteReference w:id="204"/>
      </w:r>
      <w:r w:rsidRPr="001B1C7A">
        <w:rPr>
          <w:rFonts w:ascii="Garamond" w:hAnsi="Garamond"/>
          <w:color w:val="000000" w:themeColor="text1"/>
        </w:rPr>
        <w:t xml:space="preserve"> On October 14, Davis then met with Thomas and discussed the British government’s attitude towards Standard Oil in Palestine.</w:t>
      </w:r>
      <w:r w:rsidRPr="001B1C7A">
        <w:rPr>
          <w:rStyle w:val="FootnoteReference"/>
          <w:rFonts w:ascii="Garamond" w:hAnsi="Garamond"/>
          <w:color w:val="000000" w:themeColor="text1"/>
        </w:rPr>
        <w:footnoteReference w:id="205"/>
      </w:r>
      <w:r w:rsidRPr="001B1C7A">
        <w:rPr>
          <w:rFonts w:ascii="Garamond" w:hAnsi="Garamond"/>
          <w:color w:val="000000" w:themeColor="text1"/>
        </w:rPr>
        <w:t xml:space="preserve"> Most likely, Davis appraised Thomas of Yale’s efforts, as Davis, Yale and Thomas were all familiar with one another, and Davis was operating under instructions, per Polk’s September 30</w:t>
      </w:r>
      <w:r w:rsidR="006D209E">
        <w:rPr>
          <w:rFonts w:ascii="Garamond" w:hAnsi="Garamond"/>
          <w:color w:val="000000" w:themeColor="text1"/>
        </w:rPr>
        <w:t xml:space="preserve"> </w:t>
      </w:r>
      <w:r w:rsidRPr="001B1C7A">
        <w:rPr>
          <w:rFonts w:ascii="Garamond" w:hAnsi="Garamond"/>
          <w:color w:val="000000" w:themeColor="text1"/>
        </w:rPr>
        <w:t xml:space="preserve">letter, that Thomas had influenced. </w:t>
      </w:r>
    </w:p>
    <w:p w14:paraId="7C3F7AC6" w14:textId="08189A99"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According to Terry, Yale believed </w:t>
      </w:r>
      <w:r w:rsidR="006D209E">
        <w:rPr>
          <w:rFonts w:ascii="Garamond" w:hAnsi="Garamond"/>
          <w:color w:val="000000" w:themeColor="text1"/>
        </w:rPr>
        <w:t xml:space="preserve">that </w:t>
      </w:r>
      <w:r w:rsidRPr="001B1C7A">
        <w:rPr>
          <w:rFonts w:ascii="Garamond" w:hAnsi="Garamond"/>
          <w:color w:val="000000" w:themeColor="text1"/>
        </w:rPr>
        <w:t xml:space="preserve">he had overstepped his boundaries </w:t>
      </w:r>
      <w:r w:rsidR="00EE643C">
        <w:rPr>
          <w:rFonts w:ascii="Garamond" w:hAnsi="Garamond"/>
          <w:color w:val="000000" w:themeColor="text1"/>
        </w:rPr>
        <w:t>when he</w:t>
      </w:r>
      <w:r w:rsidR="00EE643C" w:rsidRPr="001B1C7A">
        <w:rPr>
          <w:rFonts w:ascii="Garamond" w:hAnsi="Garamond"/>
          <w:color w:val="000000" w:themeColor="text1"/>
        </w:rPr>
        <w:t xml:space="preserve"> </w:t>
      </w:r>
      <w:r w:rsidRPr="001B1C7A">
        <w:rPr>
          <w:rFonts w:ascii="Garamond" w:hAnsi="Garamond"/>
          <w:color w:val="000000" w:themeColor="text1"/>
        </w:rPr>
        <w:t xml:space="preserve">rushed back to Paris, </w:t>
      </w:r>
      <w:r w:rsidR="00EE643C">
        <w:rPr>
          <w:rFonts w:ascii="Garamond" w:hAnsi="Garamond"/>
          <w:color w:val="000000" w:themeColor="text1"/>
        </w:rPr>
        <w:t>and</w:t>
      </w:r>
      <w:r w:rsidR="00EE643C" w:rsidRPr="001B1C7A">
        <w:rPr>
          <w:rFonts w:ascii="Garamond" w:hAnsi="Garamond"/>
          <w:color w:val="000000" w:themeColor="text1"/>
        </w:rPr>
        <w:t xml:space="preserve"> </w:t>
      </w:r>
      <w:r w:rsidRPr="001B1C7A">
        <w:rPr>
          <w:rFonts w:ascii="Garamond" w:hAnsi="Garamond"/>
          <w:color w:val="000000" w:themeColor="text1"/>
        </w:rPr>
        <w:t xml:space="preserve">Phillips scolded him. Yale undoubtedly went beyond his mandate. After accounting for Phillips’, Polk’s Thomas’ and Davis’ interactions from the previous months, however, it is hard to imagine that scolding being anything more than platitudes. For six months, these high-level officials discussed Yale’s knowledge of oil and relied on Yale for intelligence. </w:t>
      </w:r>
      <w:r w:rsidRPr="001B1C7A">
        <w:rPr>
          <w:rFonts w:ascii="Garamond" w:hAnsi="Garamond"/>
          <w:color w:val="000000" w:themeColor="text1"/>
          <w:shd w:val="clear" w:color="auto" w:fill="FFFFFF"/>
        </w:rPr>
        <w:t xml:space="preserve">For the </w:t>
      </w:r>
      <w:r w:rsidR="006F614B">
        <w:rPr>
          <w:rFonts w:ascii="Garamond" w:hAnsi="Garamond"/>
          <w:color w:val="000000" w:themeColor="text1"/>
          <w:shd w:val="clear" w:color="auto" w:fill="FFFFFF"/>
        </w:rPr>
        <w:t>duration</w:t>
      </w:r>
      <w:r w:rsidR="006F614B" w:rsidRPr="001B1C7A">
        <w:rPr>
          <w:rFonts w:ascii="Garamond" w:hAnsi="Garamond"/>
          <w:color w:val="000000" w:themeColor="text1"/>
          <w:shd w:val="clear" w:color="auto" w:fill="FFFFFF"/>
        </w:rPr>
        <w:t xml:space="preserve"> </w:t>
      </w:r>
      <w:r w:rsidRPr="001B1C7A">
        <w:rPr>
          <w:rFonts w:ascii="Garamond" w:hAnsi="Garamond"/>
          <w:color w:val="000000" w:themeColor="text1"/>
          <w:shd w:val="clear" w:color="auto" w:fill="FFFFFF"/>
        </w:rPr>
        <w:t xml:space="preserve">of the </w:t>
      </w:r>
      <w:r w:rsidR="00C6532D">
        <w:rPr>
          <w:rFonts w:ascii="Garamond" w:hAnsi="Garamond"/>
          <w:color w:val="000000" w:themeColor="text1"/>
          <w:shd w:val="clear" w:color="auto" w:fill="FFFFFF"/>
        </w:rPr>
        <w:t>K.C.C.</w:t>
      </w:r>
      <w:r w:rsidRPr="001B1C7A">
        <w:rPr>
          <w:rFonts w:ascii="Garamond" w:hAnsi="Garamond"/>
          <w:color w:val="000000" w:themeColor="text1"/>
          <w:shd w:val="clear" w:color="auto" w:fill="FFFFFF"/>
        </w:rPr>
        <w:t>, he corresponded with and had the tacit endorsement of high-level Americans in Paris who were also talking to Thomas. The K</w:t>
      </w:r>
      <w:r w:rsidR="0057346B">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57346B">
        <w:rPr>
          <w:rFonts w:ascii="Garamond" w:hAnsi="Garamond"/>
          <w:color w:val="000000" w:themeColor="text1"/>
          <w:shd w:val="clear" w:color="auto" w:fill="FFFFFF"/>
        </w:rPr>
        <w:t>.</w:t>
      </w:r>
      <w:r w:rsidRPr="001B1C7A">
        <w:rPr>
          <w:rFonts w:ascii="Garamond" w:hAnsi="Garamond"/>
          <w:color w:val="000000" w:themeColor="text1"/>
          <w:shd w:val="clear" w:color="auto" w:fill="FFFFFF"/>
        </w:rPr>
        <w:t>C</w:t>
      </w:r>
      <w:r w:rsidR="0057346B">
        <w:rPr>
          <w:rFonts w:ascii="Garamond" w:hAnsi="Garamond"/>
          <w:color w:val="000000" w:themeColor="text1"/>
          <w:shd w:val="clear" w:color="auto" w:fill="FFFFFF"/>
        </w:rPr>
        <w:t>.</w:t>
      </w:r>
      <w:r w:rsidRPr="001B1C7A">
        <w:rPr>
          <w:rFonts w:ascii="Garamond" w:hAnsi="Garamond"/>
          <w:color w:val="000000" w:themeColor="text1"/>
          <w:shd w:val="clear" w:color="auto" w:fill="FFFFFF"/>
        </w:rPr>
        <w:t xml:space="preserve"> enabled Yale to go to London, and Thomas’ activities in the background greased the wheels. </w:t>
      </w:r>
      <w:r w:rsidRPr="001B1C7A">
        <w:rPr>
          <w:rFonts w:ascii="Garamond" w:hAnsi="Garamond"/>
          <w:color w:val="000000" w:themeColor="text1"/>
        </w:rPr>
        <w:t>No one can blame Yale for being under the impression that he could advocate for a solution to the oil question.</w:t>
      </w:r>
    </w:p>
    <w:p w14:paraId="2A560361" w14:textId="77777777" w:rsidR="0030323A" w:rsidRDefault="0030323A" w:rsidP="0030323A">
      <w:pPr>
        <w:pStyle w:val="Heading2"/>
        <w:numPr>
          <w:ilvl w:val="0"/>
          <w:numId w:val="34"/>
        </w:numPr>
        <w:rPr>
          <w:rFonts w:ascii="Garamond" w:hAnsi="Garamond"/>
          <w:color w:val="000000" w:themeColor="text1"/>
        </w:rPr>
      </w:pPr>
      <w:bookmarkStart w:id="57" w:name="_Toc66731808"/>
      <w:r w:rsidRPr="007F2178">
        <w:rPr>
          <w:rFonts w:ascii="Garamond" w:hAnsi="Garamond"/>
          <w:color w:val="000000" w:themeColor="text1"/>
        </w:rPr>
        <w:lastRenderedPageBreak/>
        <w:t>The Mesopotamian Oil Question</w:t>
      </w:r>
      <w:bookmarkEnd w:id="57"/>
    </w:p>
    <w:p w14:paraId="40CC670C" w14:textId="77777777" w:rsidR="0030323A" w:rsidRPr="004802DF" w:rsidRDefault="0030323A" w:rsidP="0030323A"/>
    <w:p w14:paraId="7C9A03C8" w14:textId="59FE340C" w:rsidR="0030323A" w:rsidRPr="001B1C7A" w:rsidRDefault="0030323A" w:rsidP="0030323A">
      <w:pPr>
        <w:spacing w:line="480" w:lineRule="auto"/>
        <w:rPr>
          <w:rFonts w:ascii="Garamond" w:hAnsi="Garamond"/>
          <w:color w:val="000000" w:themeColor="text1"/>
        </w:rPr>
      </w:pPr>
      <w:r w:rsidRPr="001B1C7A">
        <w:rPr>
          <w:rFonts w:ascii="Garamond" w:hAnsi="Garamond"/>
          <w:color w:val="000000" w:themeColor="text1"/>
        </w:rPr>
        <w:tab/>
        <w:t>Once Yale returned to Paris, he consolidated all of his findings in a report for Buckler</w:t>
      </w:r>
      <w:r w:rsidR="00CD19C2">
        <w:rPr>
          <w:rFonts w:ascii="Garamond" w:hAnsi="Garamond"/>
          <w:color w:val="000000" w:themeColor="text1"/>
        </w:rPr>
        <w:t xml:space="preserve"> </w:t>
      </w:r>
      <w:r w:rsidRPr="001B1C7A">
        <w:rPr>
          <w:rFonts w:ascii="Garamond" w:hAnsi="Garamond"/>
          <w:color w:val="000000" w:themeColor="text1"/>
        </w:rPr>
        <w:t>titled the “Position of the Syrian Question Today.”</w:t>
      </w:r>
      <w:r w:rsidRPr="001B1C7A">
        <w:rPr>
          <w:rStyle w:val="FootnoteReference"/>
          <w:rFonts w:ascii="Garamond" w:hAnsi="Garamond"/>
          <w:color w:val="000000" w:themeColor="text1"/>
        </w:rPr>
        <w:footnoteReference w:id="206"/>
      </w:r>
      <w:r w:rsidRPr="001B1C7A">
        <w:rPr>
          <w:rFonts w:ascii="Garamond" w:hAnsi="Garamond"/>
          <w:color w:val="000000" w:themeColor="text1"/>
        </w:rPr>
        <w:t xml:space="preserve"> </w:t>
      </w:r>
      <w:r w:rsidR="00CD19C2" w:rsidRPr="001B1C7A">
        <w:rPr>
          <w:rFonts w:ascii="Garamond" w:hAnsi="Garamond"/>
          <w:color w:val="000000" w:themeColor="text1"/>
        </w:rPr>
        <w:t xml:space="preserve">It contains five subsections: “Probability of oil”; “British Activities”; “Importance to American oil interests commercially”; “Importance to British Admiralty”; and “A Solution to the Mesopotamian Oil Question.” </w:t>
      </w:r>
      <w:r w:rsidRPr="001B1C7A">
        <w:rPr>
          <w:rFonts w:ascii="Garamond" w:hAnsi="Garamond"/>
          <w:color w:val="000000" w:themeColor="text1"/>
        </w:rPr>
        <w:t xml:space="preserve">Yale painted </w:t>
      </w:r>
      <w:r w:rsidR="00CD19C2">
        <w:rPr>
          <w:rFonts w:ascii="Garamond" w:hAnsi="Garamond"/>
          <w:color w:val="000000" w:themeColor="text1"/>
        </w:rPr>
        <w:t>a</w:t>
      </w:r>
      <w:r w:rsidRPr="001B1C7A">
        <w:rPr>
          <w:rFonts w:ascii="Garamond" w:hAnsi="Garamond"/>
          <w:color w:val="000000" w:themeColor="text1"/>
        </w:rPr>
        <w:t xml:space="preserve"> comprehensive argument against British monopolistic activity and then recommend</w:t>
      </w:r>
      <w:r w:rsidR="00EE643C">
        <w:rPr>
          <w:rFonts w:ascii="Garamond" w:hAnsi="Garamond"/>
          <w:color w:val="000000" w:themeColor="text1"/>
        </w:rPr>
        <w:t>ed</w:t>
      </w:r>
      <w:r w:rsidRPr="001B1C7A">
        <w:rPr>
          <w:rFonts w:ascii="Garamond" w:hAnsi="Garamond"/>
          <w:color w:val="000000" w:themeColor="text1"/>
        </w:rPr>
        <w:t xml:space="preserve"> his solution: the Yale Plan.</w:t>
      </w:r>
      <w:r w:rsidRPr="001B1C7A">
        <w:rPr>
          <w:rStyle w:val="FootnoteReference"/>
          <w:rFonts w:ascii="Garamond" w:hAnsi="Garamond"/>
          <w:color w:val="000000" w:themeColor="text1"/>
        </w:rPr>
        <w:footnoteReference w:id="207"/>
      </w:r>
      <w:r w:rsidRPr="001B1C7A">
        <w:rPr>
          <w:rFonts w:ascii="Garamond" w:hAnsi="Garamond"/>
          <w:color w:val="000000" w:themeColor="text1"/>
        </w:rPr>
        <w:t xml:space="preserve">  </w:t>
      </w:r>
    </w:p>
    <w:p w14:paraId="3B901A59" w14:textId="43F59197" w:rsidR="0030323A" w:rsidRDefault="0030323A" w:rsidP="0030323A">
      <w:pPr>
        <w:pStyle w:val="Heading3"/>
        <w:numPr>
          <w:ilvl w:val="0"/>
          <w:numId w:val="40"/>
        </w:numPr>
        <w:rPr>
          <w:rFonts w:ascii="Garamond" w:hAnsi="Garamond"/>
          <w:color w:val="000000" w:themeColor="text1"/>
        </w:rPr>
      </w:pPr>
      <w:bookmarkStart w:id="58" w:name="_Toc66731809"/>
      <w:r w:rsidRPr="007950F0">
        <w:rPr>
          <w:rFonts w:ascii="Garamond" w:hAnsi="Garamond"/>
          <w:color w:val="000000" w:themeColor="text1"/>
        </w:rPr>
        <w:t>Probability of Oil</w:t>
      </w:r>
      <w:bookmarkEnd w:id="58"/>
      <w:r w:rsidRPr="007950F0">
        <w:rPr>
          <w:rFonts w:ascii="Garamond" w:hAnsi="Garamond"/>
          <w:color w:val="000000" w:themeColor="text1"/>
        </w:rPr>
        <w:t xml:space="preserve"> </w:t>
      </w:r>
    </w:p>
    <w:p w14:paraId="3EDF3901" w14:textId="77777777" w:rsidR="00DE6D0C" w:rsidRPr="00DE6D0C" w:rsidRDefault="00DE6D0C" w:rsidP="00DE6D0C"/>
    <w:p w14:paraId="36AA3CC8" w14:textId="4B1F2E51" w:rsidR="00C060E9" w:rsidRDefault="00F1262C" w:rsidP="0030323A">
      <w:pPr>
        <w:spacing w:line="480" w:lineRule="auto"/>
        <w:ind w:firstLine="360"/>
        <w:rPr>
          <w:rFonts w:ascii="Garamond" w:hAnsi="Garamond"/>
          <w:color w:val="000000" w:themeColor="text1"/>
        </w:rPr>
      </w:pPr>
      <w:r w:rsidRPr="001B1C7A">
        <w:rPr>
          <w:rFonts w:ascii="Garamond" w:hAnsi="Garamond"/>
          <w:color w:val="000000" w:themeColor="text1"/>
        </w:rPr>
        <w:t>In this section, Yale established oil</w:t>
      </w:r>
      <w:r w:rsidR="008D15D2">
        <w:rPr>
          <w:rFonts w:ascii="Garamond" w:hAnsi="Garamond"/>
          <w:color w:val="000000" w:themeColor="text1"/>
        </w:rPr>
        <w:t>’s</w:t>
      </w:r>
      <w:r w:rsidRPr="001B1C7A">
        <w:rPr>
          <w:rFonts w:ascii="Garamond" w:hAnsi="Garamond"/>
          <w:color w:val="000000" w:themeColor="text1"/>
        </w:rPr>
        <w:t xml:space="preserve"> </w:t>
      </w:r>
      <w:r w:rsidR="008D15D2">
        <w:rPr>
          <w:rFonts w:ascii="Garamond" w:hAnsi="Garamond"/>
          <w:color w:val="000000" w:themeColor="text1"/>
        </w:rPr>
        <w:t>importance</w:t>
      </w:r>
      <w:r w:rsidRPr="001B1C7A">
        <w:rPr>
          <w:rFonts w:ascii="Garamond" w:hAnsi="Garamond"/>
          <w:color w:val="000000" w:themeColor="text1"/>
        </w:rPr>
        <w:t xml:space="preserve"> </w:t>
      </w:r>
      <w:r w:rsidR="008D15D2">
        <w:rPr>
          <w:rFonts w:ascii="Garamond" w:hAnsi="Garamond"/>
          <w:color w:val="000000" w:themeColor="text1"/>
        </w:rPr>
        <w:t>to U.S.</w:t>
      </w:r>
      <w:r w:rsidRPr="001B1C7A">
        <w:rPr>
          <w:rFonts w:ascii="Garamond" w:hAnsi="Garamond"/>
          <w:color w:val="000000" w:themeColor="text1"/>
        </w:rPr>
        <w:t xml:space="preserve"> national security. </w:t>
      </w:r>
      <w:r w:rsidR="0030323A" w:rsidRPr="001B1C7A">
        <w:rPr>
          <w:rFonts w:ascii="Garamond" w:hAnsi="Garamond"/>
          <w:color w:val="000000" w:themeColor="text1"/>
        </w:rPr>
        <w:t xml:space="preserve">Yale begins the first section of the “Mesopotamian Oil Question” </w:t>
      </w:r>
      <w:r w:rsidR="00C060E9">
        <w:rPr>
          <w:rFonts w:ascii="Garamond" w:hAnsi="Garamond"/>
          <w:color w:val="000000" w:themeColor="text1"/>
        </w:rPr>
        <w:t>by</w:t>
      </w:r>
      <w:r w:rsidR="0030323A" w:rsidRPr="001B1C7A">
        <w:rPr>
          <w:rFonts w:ascii="Garamond" w:hAnsi="Garamond"/>
          <w:color w:val="000000" w:themeColor="text1"/>
        </w:rPr>
        <w:t xml:space="preserve"> rehashing </w:t>
      </w:r>
      <w:r w:rsidR="00C060E9">
        <w:rPr>
          <w:rFonts w:ascii="Garamond" w:hAnsi="Garamond"/>
          <w:color w:val="000000" w:themeColor="text1"/>
        </w:rPr>
        <w:t xml:space="preserve">the structure </w:t>
      </w:r>
      <w:r w:rsidR="0030323A" w:rsidRPr="001B1C7A">
        <w:rPr>
          <w:rFonts w:ascii="Garamond" w:hAnsi="Garamond"/>
          <w:color w:val="000000" w:themeColor="text1"/>
        </w:rPr>
        <w:t>of the T.P.C, , saying “partly to moot the cooperation of the Standard Oil Co of New York, which began in 191{3} to take an active interest in the oil resources of the Ottoman Empire, the Turkish Petroleum Company was formed.”</w:t>
      </w:r>
      <w:r w:rsidR="0030323A" w:rsidRPr="001B1C7A">
        <w:rPr>
          <w:rStyle w:val="FootnoteReference"/>
          <w:rFonts w:ascii="Garamond" w:hAnsi="Garamond"/>
          <w:color w:val="000000" w:themeColor="text1"/>
        </w:rPr>
        <w:footnoteReference w:id="208"/>
      </w:r>
      <w:r w:rsidR="0030323A" w:rsidRPr="001B1C7A">
        <w:rPr>
          <w:rFonts w:ascii="Garamond" w:hAnsi="Garamond"/>
          <w:color w:val="000000" w:themeColor="text1"/>
        </w:rPr>
        <w:t xml:space="preserve"> Hitherto, Yale had focused his analysis on how the T.P.C. </w:t>
      </w:r>
      <w:r>
        <w:rPr>
          <w:rFonts w:ascii="Garamond" w:hAnsi="Garamond"/>
          <w:color w:val="000000" w:themeColor="text1"/>
        </w:rPr>
        <w:t>excluded</w:t>
      </w:r>
      <w:r w:rsidR="0030323A" w:rsidRPr="001B1C7A">
        <w:rPr>
          <w:rFonts w:ascii="Garamond" w:hAnsi="Garamond"/>
          <w:color w:val="000000" w:themeColor="text1"/>
        </w:rPr>
        <w:t xml:space="preserve"> American oil interests. </w:t>
      </w:r>
      <w:r w:rsidR="00092EED">
        <w:rPr>
          <w:rFonts w:ascii="Garamond" w:hAnsi="Garamond"/>
          <w:color w:val="000000" w:themeColor="text1"/>
        </w:rPr>
        <w:t>Here, Yale</w:t>
      </w:r>
      <w:r w:rsidR="0030323A" w:rsidRPr="001B1C7A">
        <w:rPr>
          <w:rFonts w:ascii="Garamond" w:hAnsi="Garamond"/>
          <w:color w:val="000000" w:themeColor="text1"/>
        </w:rPr>
        <w:t xml:space="preserve"> focused his analysis specifically on Standard Oil. </w:t>
      </w:r>
    </w:p>
    <w:p w14:paraId="224FAA91" w14:textId="3294E9C1" w:rsidR="0030323A" w:rsidRPr="001B1C7A" w:rsidRDefault="008D15D2" w:rsidP="0030323A">
      <w:pPr>
        <w:spacing w:line="480" w:lineRule="auto"/>
        <w:ind w:firstLine="360"/>
        <w:rPr>
          <w:rFonts w:ascii="Garamond" w:hAnsi="Garamond"/>
          <w:color w:val="000000" w:themeColor="text1"/>
        </w:rPr>
      </w:pPr>
      <w:r>
        <w:rPr>
          <w:rFonts w:ascii="Garamond" w:hAnsi="Garamond"/>
          <w:color w:val="000000" w:themeColor="text1"/>
        </w:rPr>
        <w:t xml:space="preserve">To write this, </w:t>
      </w:r>
      <w:r w:rsidR="0030323A" w:rsidRPr="001B1C7A">
        <w:rPr>
          <w:rFonts w:ascii="Garamond" w:hAnsi="Garamond"/>
          <w:color w:val="000000" w:themeColor="text1"/>
        </w:rPr>
        <w:t xml:space="preserve">Yale drew on his experience from the </w:t>
      </w:r>
      <w:r w:rsidR="00C6532D">
        <w:rPr>
          <w:rFonts w:ascii="Garamond" w:hAnsi="Garamond"/>
          <w:color w:val="000000" w:themeColor="text1"/>
        </w:rPr>
        <w:t>K.C.C.</w:t>
      </w:r>
      <w:r w:rsidR="0030323A" w:rsidRPr="001B1C7A">
        <w:rPr>
          <w:rFonts w:ascii="Garamond" w:hAnsi="Garamond"/>
          <w:color w:val="000000" w:themeColor="text1"/>
        </w:rPr>
        <w:t xml:space="preserve"> when he provided the American Commission to </w:t>
      </w:r>
      <w:r w:rsidR="00C57249">
        <w:rPr>
          <w:rFonts w:ascii="Garamond" w:hAnsi="Garamond"/>
          <w:color w:val="000000" w:themeColor="text1"/>
        </w:rPr>
        <w:t>N</w:t>
      </w:r>
      <w:r w:rsidR="0030323A" w:rsidRPr="001B1C7A">
        <w:rPr>
          <w:rFonts w:ascii="Garamond" w:hAnsi="Garamond"/>
          <w:color w:val="000000" w:themeColor="text1"/>
        </w:rPr>
        <w:t>egotiate Peace updates on the British’s treatment of Standard Oil</w:t>
      </w:r>
      <w:r w:rsidR="00EE643C">
        <w:rPr>
          <w:rFonts w:ascii="Garamond" w:hAnsi="Garamond"/>
          <w:color w:val="000000" w:themeColor="text1"/>
        </w:rPr>
        <w:t>,</w:t>
      </w:r>
      <w:r w:rsidR="0030323A" w:rsidRPr="001B1C7A">
        <w:rPr>
          <w:rFonts w:ascii="Garamond" w:hAnsi="Garamond"/>
          <w:color w:val="000000" w:themeColor="text1"/>
        </w:rPr>
        <w:t xml:space="preserve"> and he </w:t>
      </w:r>
      <w:r>
        <w:rPr>
          <w:rFonts w:ascii="Garamond" w:hAnsi="Garamond"/>
          <w:color w:val="000000" w:themeColor="text1"/>
        </w:rPr>
        <w:t xml:space="preserve">also </w:t>
      </w:r>
      <w:r w:rsidR="0030323A" w:rsidRPr="001B1C7A">
        <w:rPr>
          <w:rFonts w:ascii="Garamond" w:hAnsi="Garamond"/>
          <w:color w:val="000000" w:themeColor="text1"/>
        </w:rPr>
        <w:t xml:space="preserve">relied on knowledge </w:t>
      </w:r>
      <w:r w:rsidR="00EE643C">
        <w:rPr>
          <w:rFonts w:ascii="Garamond" w:hAnsi="Garamond"/>
          <w:color w:val="000000" w:themeColor="text1"/>
        </w:rPr>
        <w:t>of the T.P.C. he had gained</w:t>
      </w:r>
      <w:r w:rsidR="0030323A" w:rsidRPr="001B1C7A">
        <w:rPr>
          <w:rFonts w:ascii="Garamond" w:hAnsi="Garamond"/>
          <w:color w:val="000000" w:themeColor="text1"/>
        </w:rPr>
        <w:t xml:space="preserve"> </w:t>
      </w:r>
      <w:r w:rsidR="00EE643C">
        <w:rPr>
          <w:rFonts w:ascii="Garamond" w:hAnsi="Garamond"/>
          <w:color w:val="000000" w:themeColor="text1"/>
        </w:rPr>
        <w:t>from</w:t>
      </w:r>
      <w:r w:rsidR="00EE643C" w:rsidRPr="001B1C7A">
        <w:rPr>
          <w:rFonts w:ascii="Garamond" w:hAnsi="Garamond"/>
          <w:color w:val="000000" w:themeColor="text1"/>
        </w:rPr>
        <w:t xml:space="preserve"> </w:t>
      </w:r>
      <w:r w:rsidR="0030323A" w:rsidRPr="001B1C7A">
        <w:rPr>
          <w:rFonts w:ascii="Garamond" w:hAnsi="Garamond"/>
          <w:color w:val="000000" w:themeColor="text1"/>
        </w:rPr>
        <w:t>working for Standard Oil in the Middle East. Yale then extrapolates that “the petroleum wealth of Mesopotamia has become a political one of importance” to “the settlement of the Arab Provinces,” “the interest of powerful American oil companies” and “the American Naval and Marine.”</w:t>
      </w:r>
      <w:r w:rsidR="0030323A" w:rsidRPr="001B1C7A">
        <w:rPr>
          <w:rStyle w:val="FootnoteReference"/>
          <w:rFonts w:ascii="Garamond" w:hAnsi="Garamond"/>
          <w:color w:val="000000" w:themeColor="text1"/>
        </w:rPr>
        <w:footnoteReference w:id="209"/>
      </w:r>
      <w:r w:rsidR="0030323A" w:rsidRPr="001B1C7A">
        <w:rPr>
          <w:rFonts w:ascii="Garamond" w:hAnsi="Garamond"/>
          <w:color w:val="000000" w:themeColor="text1"/>
        </w:rPr>
        <w:t xml:space="preserve"> </w:t>
      </w:r>
      <w:r w:rsidR="0057346B">
        <w:rPr>
          <w:rFonts w:ascii="Garamond" w:hAnsi="Garamond"/>
          <w:color w:val="000000" w:themeColor="text1"/>
        </w:rPr>
        <w:t>Yale thought of oi</w:t>
      </w:r>
      <w:r w:rsidR="006F614B">
        <w:rPr>
          <w:rFonts w:ascii="Garamond" w:hAnsi="Garamond"/>
          <w:color w:val="000000" w:themeColor="text1"/>
        </w:rPr>
        <w:t>l</w:t>
      </w:r>
      <w:r w:rsidR="0057346B">
        <w:rPr>
          <w:rFonts w:ascii="Garamond" w:hAnsi="Garamond"/>
          <w:color w:val="000000" w:themeColor="text1"/>
        </w:rPr>
        <w:t xml:space="preserve"> not only in terms of commerce, but i</w:t>
      </w:r>
      <w:r w:rsidR="006F614B">
        <w:rPr>
          <w:rFonts w:ascii="Garamond" w:hAnsi="Garamond"/>
          <w:color w:val="000000" w:themeColor="text1"/>
        </w:rPr>
        <w:t>n</w:t>
      </w:r>
      <w:r w:rsidR="0057346B">
        <w:rPr>
          <w:rFonts w:ascii="Garamond" w:hAnsi="Garamond"/>
          <w:color w:val="000000" w:themeColor="text1"/>
        </w:rPr>
        <w:t xml:space="preserve"> terms of the </w:t>
      </w:r>
      <w:r w:rsidR="00C57249">
        <w:rPr>
          <w:rFonts w:ascii="Garamond" w:hAnsi="Garamond"/>
          <w:color w:val="000000" w:themeColor="text1"/>
        </w:rPr>
        <w:t>N</w:t>
      </w:r>
      <w:r w:rsidR="0057346B">
        <w:rPr>
          <w:rFonts w:ascii="Garamond" w:hAnsi="Garamond"/>
          <w:color w:val="000000" w:themeColor="text1"/>
        </w:rPr>
        <w:t xml:space="preserve">avy </w:t>
      </w:r>
      <w:r w:rsidR="00EE643C">
        <w:rPr>
          <w:rFonts w:ascii="Garamond" w:hAnsi="Garamond"/>
          <w:color w:val="000000" w:themeColor="text1"/>
        </w:rPr>
        <w:t>- or</w:t>
      </w:r>
      <w:r w:rsidR="0057346B">
        <w:rPr>
          <w:rFonts w:ascii="Garamond" w:hAnsi="Garamond"/>
          <w:color w:val="000000" w:themeColor="text1"/>
        </w:rPr>
        <w:t xml:space="preserve"> </w:t>
      </w:r>
      <w:r w:rsidR="00200C42">
        <w:rPr>
          <w:rFonts w:ascii="Garamond" w:hAnsi="Garamond"/>
          <w:color w:val="000000" w:themeColor="text1"/>
        </w:rPr>
        <w:t>oil’s national security implications in a war with Japan</w:t>
      </w:r>
      <w:r w:rsidR="0057346B">
        <w:rPr>
          <w:rFonts w:ascii="Garamond" w:hAnsi="Garamond"/>
          <w:color w:val="000000" w:themeColor="text1"/>
        </w:rPr>
        <w:t xml:space="preserve">. </w:t>
      </w:r>
      <w:r w:rsidR="00200C42">
        <w:rPr>
          <w:rFonts w:ascii="Garamond" w:hAnsi="Garamond"/>
          <w:color w:val="000000" w:themeColor="text1"/>
        </w:rPr>
        <w:t xml:space="preserve">This thinking aligns Yale with Secretary of the Navy Daniel’s anxieties. </w:t>
      </w:r>
    </w:p>
    <w:p w14:paraId="654F352B" w14:textId="77777777" w:rsidR="0030323A" w:rsidRDefault="0030323A" w:rsidP="0030323A">
      <w:pPr>
        <w:pStyle w:val="Heading3"/>
        <w:numPr>
          <w:ilvl w:val="0"/>
          <w:numId w:val="40"/>
        </w:numPr>
        <w:rPr>
          <w:rFonts w:ascii="Garamond" w:hAnsi="Garamond"/>
          <w:color w:val="000000" w:themeColor="text1"/>
        </w:rPr>
      </w:pPr>
      <w:bookmarkStart w:id="59" w:name="_Toc66731810"/>
      <w:r w:rsidRPr="004802DF">
        <w:rPr>
          <w:rFonts w:ascii="Garamond" w:hAnsi="Garamond"/>
          <w:color w:val="000000" w:themeColor="text1"/>
        </w:rPr>
        <w:t>British Activities</w:t>
      </w:r>
      <w:bookmarkEnd w:id="59"/>
      <w:r w:rsidRPr="004802DF">
        <w:rPr>
          <w:rFonts w:ascii="Garamond" w:hAnsi="Garamond"/>
          <w:color w:val="000000" w:themeColor="text1"/>
        </w:rPr>
        <w:t xml:space="preserve"> </w:t>
      </w:r>
    </w:p>
    <w:p w14:paraId="2AB7B12D" w14:textId="77777777" w:rsidR="0030323A" w:rsidRPr="004802DF" w:rsidRDefault="0030323A" w:rsidP="0030323A"/>
    <w:p w14:paraId="6414DD2B" w14:textId="1A71E8FA" w:rsidR="0030323A" w:rsidRPr="001B1C7A" w:rsidRDefault="002F1A9E" w:rsidP="0030323A">
      <w:pPr>
        <w:spacing w:line="480" w:lineRule="auto"/>
        <w:ind w:firstLine="360"/>
        <w:rPr>
          <w:rFonts w:ascii="Garamond" w:hAnsi="Garamond"/>
          <w:color w:val="000000" w:themeColor="text1"/>
        </w:rPr>
      </w:pPr>
      <w:r>
        <w:rPr>
          <w:rFonts w:ascii="Garamond" w:hAnsi="Garamond"/>
          <w:color w:val="000000" w:themeColor="text1"/>
        </w:rPr>
        <w:lastRenderedPageBreak/>
        <w:t xml:space="preserve">Again, </w:t>
      </w:r>
      <w:r w:rsidR="0030323A" w:rsidRPr="001B1C7A">
        <w:rPr>
          <w:rFonts w:ascii="Garamond" w:hAnsi="Garamond"/>
          <w:color w:val="000000" w:themeColor="text1"/>
        </w:rPr>
        <w:t>Yale began this section discussing the structure of the T.P.C. He first represents the significance of Mesopotamia by referencing early British intelligence reports that Mesopotamia has been “very favorable and indicates the enormous wealth of the oil deposits.”</w:t>
      </w:r>
      <w:r w:rsidR="0030323A" w:rsidRPr="001B1C7A">
        <w:rPr>
          <w:rStyle w:val="FootnoteReference"/>
          <w:rFonts w:ascii="Garamond" w:hAnsi="Garamond"/>
          <w:color w:val="000000" w:themeColor="text1"/>
        </w:rPr>
        <w:footnoteReference w:id="210"/>
      </w:r>
      <w:r w:rsidR="0030323A" w:rsidRPr="001B1C7A">
        <w:rPr>
          <w:rFonts w:ascii="Garamond" w:hAnsi="Garamond"/>
          <w:color w:val="000000" w:themeColor="text1"/>
        </w:rPr>
        <w:t xml:space="preserve"> Yale also discussed British and French oil agreements, implying that the Europeans were still attempting to interdict the Americans from the Middle East. Yale drew on his interviews in London for this section, as he referenced talks with British intelligence executives. </w:t>
      </w:r>
      <w:r>
        <w:rPr>
          <w:rFonts w:ascii="Garamond" w:hAnsi="Garamond"/>
          <w:color w:val="000000" w:themeColor="text1"/>
        </w:rPr>
        <w:t>T</w:t>
      </w:r>
      <w:r w:rsidR="0030323A" w:rsidRPr="001B1C7A">
        <w:rPr>
          <w:rFonts w:ascii="Garamond" w:hAnsi="Garamond"/>
          <w:color w:val="000000" w:themeColor="text1"/>
        </w:rPr>
        <w:t xml:space="preserve">his represents how “The Position of the Syrian Question Today” is a culmination of Yale’s career in oil and his advocacy for the </w:t>
      </w:r>
      <w:r w:rsidR="00C6532D">
        <w:rPr>
          <w:rFonts w:ascii="Garamond" w:hAnsi="Garamond"/>
          <w:color w:val="000000" w:themeColor="text1"/>
        </w:rPr>
        <w:t>Open Door</w:t>
      </w:r>
      <w:r w:rsidR="0030323A" w:rsidRPr="001B1C7A">
        <w:rPr>
          <w:rFonts w:ascii="Garamond" w:hAnsi="Garamond"/>
          <w:color w:val="000000" w:themeColor="text1"/>
        </w:rPr>
        <w:t xml:space="preserve">. </w:t>
      </w:r>
    </w:p>
    <w:p w14:paraId="0F75A1F3" w14:textId="77777777" w:rsidR="0030323A" w:rsidRDefault="0030323A" w:rsidP="0030323A">
      <w:pPr>
        <w:pStyle w:val="Heading3"/>
        <w:numPr>
          <w:ilvl w:val="0"/>
          <w:numId w:val="40"/>
        </w:numPr>
        <w:rPr>
          <w:rFonts w:ascii="Garamond" w:hAnsi="Garamond"/>
          <w:color w:val="000000" w:themeColor="text1"/>
        </w:rPr>
      </w:pPr>
      <w:bookmarkStart w:id="60" w:name="_Toc66731811"/>
      <w:r w:rsidRPr="004802DF">
        <w:rPr>
          <w:rFonts w:ascii="Garamond" w:hAnsi="Garamond"/>
          <w:color w:val="000000" w:themeColor="text1"/>
        </w:rPr>
        <w:t>Importance to American Oil Interests Commercially</w:t>
      </w:r>
      <w:bookmarkEnd w:id="60"/>
      <w:r w:rsidRPr="004802DF">
        <w:rPr>
          <w:rFonts w:ascii="Garamond" w:hAnsi="Garamond"/>
          <w:color w:val="000000" w:themeColor="text1"/>
        </w:rPr>
        <w:t xml:space="preserve"> </w:t>
      </w:r>
    </w:p>
    <w:p w14:paraId="2ED2AD43" w14:textId="77777777" w:rsidR="0030323A" w:rsidRPr="004802DF" w:rsidRDefault="0030323A" w:rsidP="0030323A"/>
    <w:p w14:paraId="634DAFD7" w14:textId="4E15116D"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Section three of “The Mesopotamian Oil Question” is</w:t>
      </w:r>
      <w:r w:rsidR="008D15D2">
        <w:rPr>
          <w:rFonts w:ascii="Garamond" w:hAnsi="Garamond"/>
          <w:color w:val="000000" w:themeColor="text1"/>
        </w:rPr>
        <w:t xml:space="preserve"> </w:t>
      </w:r>
      <w:r w:rsidRPr="001B1C7A">
        <w:rPr>
          <w:rFonts w:ascii="Garamond" w:hAnsi="Garamond"/>
          <w:color w:val="000000" w:themeColor="text1"/>
        </w:rPr>
        <w:t>the most important section of any report that Yale wrote. Yale painted a comprehensive picture of why oil was important to the U.S. and why British actions threatened the U.S. He commences with “The control of large and profitable varieties for kerosine oil is essential to the protection of cheap gasoline and lubricating oils and gasses,” which were becoming increasing</w:t>
      </w:r>
      <w:r w:rsidR="0076088B">
        <w:rPr>
          <w:rFonts w:ascii="Garamond" w:hAnsi="Garamond"/>
          <w:color w:val="000000" w:themeColor="text1"/>
        </w:rPr>
        <w:t>ly</w:t>
      </w:r>
      <w:r w:rsidRPr="001B1C7A">
        <w:rPr>
          <w:rFonts w:ascii="Garamond" w:hAnsi="Garamond"/>
          <w:color w:val="000000" w:themeColor="text1"/>
        </w:rPr>
        <w:t xml:space="preserve"> important in the U.S. because of the automobile and industrial revolution.</w:t>
      </w:r>
      <w:r w:rsidRPr="001B1C7A">
        <w:rPr>
          <w:rStyle w:val="FootnoteReference"/>
          <w:rFonts w:ascii="Garamond" w:hAnsi="Garamond"/>
          <w:color w:val="000000" w:themeColor="text1"/>
        </w:rPr>
        <w:footnoteReference w:id="211"/>
      </w:r>
      <w:r w:rsidRPr="001B1C7A">
        <w:rPr>
          <w:rFonts w:ascii="Garamond" w:hAnsi="Garamond"/>
          <w:color w:val="000000" w:themeColor="text1"/>
        </w:rPr>
        <w:t xml:space="preserve"> Yale then indicated the European threat to cheap goods by writing “The great fields of the Ottomans are controlled and owned by British and other foreign interests almost conclusively, the rich ___ of Romania are largely controlled by British and foreign interests, in Burma the British are in complete control and American interests rigidly excluded from the development or exploitation of oil resources.”</w:t>
      </w:r>
      <w:r w:rsidRPr="001B1C7A">
        <w:rPr>
          <w:rStyle w:val="FootnoteReference"/>
          <w:rFonts w:ascii="Garamond" w:hAnsi="Garamond"/>
          <w:color w:val="000000" w:themeColor="text1"/>
        </w:rPr>
        <w:footnoteReference w:id="212"/>
      </w:r>
      <w:r w:rsidRPr="001B1C7A">
        <w:rPr>
          <w:rFonts w:ascii="Garamond" w:hAnsi="Garamond"/>
          <w:color w:val="000000" w:themeColor="text1"/>
        </w:rPr>
        <w:t xml:space="preserve"> Mesopotamia was not the only region where the British practiced exclusionary economic practices; they prevented American activity in Romania and Burma, which </w:t>
      </w:r>
      <w:r w:rsidR="00714B68">
        <w:rPr>
          <w:rFonts w:ascii="Garamond" w:hAnsi="Garamond"/>
          <w:color w:val="000000" w:themeColor="text1"/>
        </w:rPr>
        <w:t>could</w:t>
      </w:r>
      <w:r w:rsidRPr="001B1C7A">
        <w:rPr>
          <w:rFonts w:ascii="Garamond" w:hAnsi="Garamond"/>
          <w:color w:val="000000" w:themeColor="text1"/>
        </w:rPr>
        <w:t xml:space="preserve"> threaten the U.S.’s </w:t>
      </w:r>
      <w:r w:rsidR="00714B68">
        <w:rPr>
          <w:rFonts w:ascii="Garamond" w:hAnsi="Garamond"/>
          <w:color w:val="000000" w:themeColor="text1"/>
        </w:rPr>
        <w:t>rise as an economic</w:t>
      </w:r>
      <w:r w:rsidRPr="001B1C7A">
        <w:rPr>
          <w:rFonts w:ascii="Garamond" w:hAnsi="Garamond"/>
          <w:color w:val="000000" w:themeColor="text1"/>
        </w:rPr>
        <w:t xml:space="preserve"> power. Yale </w:t>
      </w:r>
      <w:r w:rsidR="00714B68">
        <w:rPr>
          <w:rFonts w:ascii="Garamond" w:hAnsi="Garamond"/>
          <w:color w:val="000000" w:themeColor="text1"/>
        </w:rPr>
        <w:t>emphasizes</w:t>
      </w:r>
      <w:r w:rsidRPr="001B1C7A">
        <w:rPr>
          <w:rFonts w:ascii="Garamond" w:hAnsi="Garamond"/>
          <w:color w:val="000000" w:themeColor="text1"/>
        </w:rPr>
        <w:t xml:space="preserve"> this when he writes “if American oil interests be excluded from participation in the development of the oil supplies of Mesopotamia … the United States would be affected and in consequence the consumers of gasoline, </w:t>
      </w:r>
      <w:r w:rsidRPr="001B1C7A">
        <w:rPr>
          <w:rFonts w:ascii="Garamond" w:hAnsi="Garamond"/>
          <w:color w:val="000000" w:themeColor="text1"/>
        </w:rPr>
        <w:lastRenderedPageBreak/>
        <w:t>lubricating oil, fuel oil and other by products of petroleum.”</w:t>
      </w:r>
      <w:r w:rsidRPr="001B1C7A">
        <w:rPr>
          <w:rStyle w:val="FootnoteReference"/>
          <w:rFonts w:ascii="Garamond" w:hAnsi="Garamond"/>
          <w:color w:val="000000" w:themeColor="text1"/>
        </w:rPr>
        <w:footnoteReference w:id="213"/>
      </w:r>
      <w:r w:rsidRPr="001B1C7A">
        <w:rPr>
          <w:rFonts w:ascii="Garamond" w:hAnsi="Garamond"/>
          <w:color w:val="000000" w:themeColor="text1"/>
        </w:rPr>
        <w:t xml:space="preserve"> </w:t>
      </w:r>
      <w:r w:rsidR="00714B68">
        <w:rPr>
          <w:rFonts w:ascii="Garamond" w:hAnsi="Garamond"/>
          <w:color w:val="000000" w:themeColor="text1"/>
        </w:rPr>
        <w:t>Concluding the</w:t>
      </w:r>
      <w:r w:rsidRPr="001B1C7A">
        <w:rPr>
          <w:rFonts w:ascii="Garamond" w:hAnsi="Garamond"/>
          <w:color w:val="000000" w:themeColor="text1"/>
        </w:rPr>
        <w:t xml:space="preserve"> section</w:t>
      </w:r>
      <w:r w:rsidR="00714B68">
        <w:rPr>
          <w:rFonts w:ascii="Garamond" w:hAnsi="Garamond"/>
          <w:color w:val="000000" w:themeColor="text1"/>
        </w:rPr>
        <w:t>, Yale says</w:t>
      </w:r>
      <w:r w:rsidRPr="001B1C7A">
        <w:rPr>
          <w:rFonts w:ascii="Garamond" w:hAnsi="Garamond"/>
          <w:color w:val="000000" w:themeColor="text1"/>
        </w:rPr>
        <w:t xml:space="preserve"> “the monopoly of new petroleum resources … is of serious importance to American Oil interests and American consumer of petroleum products, including the American Navy and American Mercantile marine.</w:t>
      </w:r>
      <w:r w:rsidR="00092EED">
        <w:rPr>
          <w:rFonts w:ascii="Garamond" w:hAnsi="Garamond"/>
          <w:color w:val="000000" w:themeColor="text1"/>
        </w:rPr>
        <w:t>”</w:t>
      </w:r>
      <w:r w:rsidRPr="001B1C7A">
        <w:rPr>
          <w:rStyle w:val="FootnoteReference"/>
          <w:rFonts w:ascii="Garamond" w:hAnsi="Garamond"/>
          <w:color w:val="000000" w:themeColor="text1"/>
        </w:rPr>
        <w:footnoteReference w:id="214"/>
      </w:r>
      <w:r w:rsidRPr="001B1C7A">
        <w:rPr>
          <w:rFonts w:ascii="Garamond" w:hAnsi="Garamond"/>
          <w:color w:val="000000" w:themeColor="text1"/>
        </w:rPr>
        <w:t xml:space="preserve"> </w:t>
      </w:r>
      <w:r w:rsidR="00714B68">
        <w:rPr>
          <w:rFonts w:ascii="Garamond" w:hAnsi="Garamond"/>
          <w:color w:val="000000" w:themeColor="text1"/>
        </w:rPr>
        <w:t>N</w:t>
      </w:r>
      <w:r w:rsidRPr="001B1C7A">
        <w:rPr>
          <w:rFonts w:ascii="Garamond" w:hAnsi="Garamond"/>
          <w:color w:val="000000" w:themeColor="text1"/>
        </w:rPr>
        <w:t xml:space="preserve">ot only the American economy would suffer, but so would its national security. </w:t>
      </w:r>
      <w:r w:rsidR="006F614B">
        <w:rPr>
          <w:rFonts w:ascii="Garamond" w:hAnsi="Garamond"/>
          <w:color w:val="000000" w:themeColor="text1"/>
        </w:rPr>
        <w:t xml:space="preserve">Yale </w:t>
      </w:r>
      <w:r w:rsidR="00714B68">
        <w:rPr>
          <w:rFonts w:ascii="Garamond" w:hAnsi="Garamond"/>
          <w:color w:val="000000" w:themeColor="text1"/>
        </w:rPr>
        <w:t>saw</w:t>
      </w:r>
      <w:r w:rsidR="006F614B">
        <w:rPr>
          <w:rFonts w:ascii="Garamond" w:hAnsi="Garamond"/>
          <w:color w:val="000000" w:themeColor="text1"/>
        </w:rPr>
        <w:t xml:space="preserve"> commerce and America’s status as a world power as intertwined. Therefore, he was implying that a threat to U.S.’s commerce would also menace the U.S.’s ability to create power and, consequently, its security. </w:t>
      </w:r>
      <w:r w:rsidRPr="001B1C7A">
        <w:rPr>
          <w:rFonts w:ascii="Garamond" w:hAnsi="Garamond"/>
          <w:color w:val="000000" w:themeColor="text1"/>
        </w:rPr>
        <w:t xml:space="preserve">Yale </w:t>
      </w:r>
      <w:r w:rsidR="001701ED">
        <w:rPr>
          <w:rFonts w:ascii="Garamond" w:hAnsi="Garamond"/>
          <w:color w:val="000000" w:themeColor="text1"/>
        </w:rPr>
        <w:t>advocated</w:t>
      </w:r>
      <w:r w:rsidRPr="001B1C7A">
        <w:rPr>
          <w:rFonts w:ascii="Garamond" w:hAnsi="Garamond"/>
          <w:color w:val="000000" w:themeColor="text1"/>
        </w:rPr>
        <w:t xml:space="preserve"> for the Open – Door </w:t>
      </w:r>
      <w:r w:rsidR="001701ED">
        <w:rPr>
          <w:rFonts w:ascii="Garamond" w:hAnsi="Garamond"/>
          <w:color w:val="000000" w:themeColor="text1"/>
        </w:rPr>
        <w:t>in</w:t>
      </w:r>
      <w:r w:rsidR="008D15D2">
        <w:rPr>
          <w:rFonts w:ascii="Garamond" w:hAnsi="Garamond"/>
          <w:color w:val="000000" w:themeColor="text1"/>
        </w:rPr>
        <w:t xml:space="preserve"> the </w:t>
      </w:r>
      <w:r w:rsidR="001701ED">
        <w:rPr>
          <w:rFonts w:ascii="Garamond" w:hAnsi="Garamond"/>
          <w:color w:val="000000" w:themeColor="text1"/>
        </w:rPr>
        <w:t xml:space="preserve">interest of </w:t>
      </w:r>
      <w:r w:rsidR="008D15D2">
        <w:rPr>
          <w:rFonts w:ascii="Garamond" w:hAnsi="Garamond"/>
          <w:color w:val="000000" w:themeColor="text1"/>
        </w:rPr>
        <w:t xml:space="preserve">U.S. </w:t>
      </w:r>
      <w:r w:rsidR="001701ED">
        <w:rPr>
          <w:rFonts w:ascii="Garamond" w:hAnsi="Garamond"/>
          <w:color w:val="000000" w:themeColor="text1"/>
        </w:rPr>
        <w:t>security.</w:t>
      </w:r>
      <w:r w:rsidR="008D15D2">
        <w:rPr>
          <w:rFonts w:ascii="Garamond" w:hAnsi="Garamond"/>
          <w:color w:val="000000" w:themeColor="text1"/>
        </w:rPr>
        <w:t xml:space="preserve"> </w:t>
      </w:r>
    </w:p>
    <w:p w14:paraId="10E56B75" w14:textId="77777777" w:rsidR="0030323A" w:rsidRDefault="0030323A" w:rsidP="0030323A">
      <w:pPr>
        <w:pStyle w:val="Heading3"/>
        <w:numPr>
          <w:ilvl w:val="0"/>
          <w:numId w:val="40"/>
        </w:numPr>
        <w:rPr>
          <w:rFonts w:ascii="Garamond" w:hAnsi="Garamond"/>
          <w:color w:val="000000" w:themeColor="text1"/>
        </w:rPr>
      </w:pPr>
      <w:bookmarkStart w:id="61" w:name="_Toc66731812"/>
      <w:bookmarkStart w:id="62" w:name="_Toc66731813"/>
      <w:bookmarkEnd w:id="61"/>
      <w:r w:rsidRPr="004802DF">
        <w:rPr>
          <w:rFonts w:ascii="Garamond" w:hAnsi="Garamond"/>
          <w:color w:val="000000" w:themeColor="text1"/>
        </w:rPr>
        <w:t>A Solution to the Mesopotamian Oil Question</w:t>
      </w:r>
      <w:bookmarkEnd w:id="62"/>
    </w:p>
    <w:p w14:paraId="4C581968" w14:textId="77777777" w:rsidR="0030323A" w:rsidRPr="004802DF" w:rsidRDefault="0030323A" w:rsidP="0030323A"/>
    <w:p w14:paraId="55A58899" w14:textId="1BF59C1E" w:rsidR="00FC2561" w:rsidRDefault="003022E7" w:rsidP="0030323A">
      <w:pPr>
        <w:spacing w:line="480" w:lineRule="auto"/>
        <w:ind w:firstLine="720"/>
        <w:rPr>
          <w:rFonts w:ascii="Garamond" w:hAnsi="Garamond"/>
          <w:color w:val="000000" w:themeColor="text1"/>
        </w:rPr>
      </w:pPr>
      <w:r>
        <w:rPr>
          <w:rFonts w:ascii="Garamond" w:hAnsi="Garamond"/>
          <w:color w:val="000000" w:themeColor="text1"/>
        </w:rPr>
        <w:t xml:space="preserve">In the last section, </w:t>
      </w:r>
      <w:r w:rsidR="0030323A" w:rsidRPr="001B1C7A">
        <w:rPr>
          <w:rFonts w:ascii="Garamond" w:hAnsi="Garamond"/>
          <w:color w:val="000000" w:themeColor="text1"/>
        </w:rPr>
        <w:t>Yale presented a</w:t>
      </w:r>
      <w:r w:rsidR="003C5714">
        <w:rPr>
          <w:rFonts w:ascii="Garamond" w:hAnsi="Garamond"/>
          <w:color w:val="000000" w:themeColor="text1"/>
        </w:rPr>
        <w:t xml:space="preserve"> </w:t>
      </w:r>
      <w:r w:rsidR="0030323A" w:rsidRPr="001B1C7A">
        <w:rPr>
          <w:rFonts w:ascii="Garamond" w:hAnsi="Garamond"/>
          <w:color w:val="000000" w:themeColor="text1"/>
        </w:rPr>
        <w:t xml:space="preserve">policy proposal. </w:t>
      </w:r>
      <w:r w:rsidR="008D15D2">
        <w:rPr>
          <w:rFonts w:ascii="Garamond" w:hAnsi="Garamond"/>
          <w:color w:val="000000" w:themeColor="text1"/>
        </w:rPr>
        <w:t>Since t</w:t>
      </w:r>
      <w:r w:rsidR="0030323A" w:rsidRPr="001B1C7A">
        <w:rPr>
          <w:rFonts w:ascii="Garamond" w:hAnsi="Garamond"/>
          <w:color w:val="000000" w:themeColor="text1"/>
        </w:rPr>
        <w:t>he British were concerned about wartime, not peacetime, oil supply</w:t>
      </w:r>
      <w:r w:rsidR="008D15D2">
        <w:rPr>
          <w:rFonts w:ascii="Garamond" w:hAnsi="Garamond"/>
          <w:color w:val="000000" w:themeColor="text1"/>
        </w:rPr>
        <w:t>,</w:t>
      </w:r>
      <w:r w:rsidR="0030323A" w:rsidRPr="001B1C7A">
        <w:rPr>
          <w:rFonts w:ascii="Garamond" w:hAnsi="Garamond"/>
          <w:color w:val="000000" w:themeColor="text1"/>
        </w:rPr>
        <w:t xml:space="preserve"> Yale starts with “The political control of Mesopotamia, coupled with the control of the Persian Gulf would assure Great Britain that the petroleum supplies of Mesopotamia would in case of war be under her control, no matter who or how many individual interests might develop these resources.”</w:t>
      </w:r>
      <w:r w:rsidR="00382EE8">
        <w:rPr>
          <w:rStyle w:val="FootnoteReference"/>
          <w:rFonts w:ascii="Garamond" w:hAnsi="Garamond"/>
          <w:color w:val="000000" w:themeColor="text1"/>
        </w:rPr>
        <w:footnoteReference w:id="215"/>
      </w:r>
      <w:r w:rsidR="0030323A" w:rsidRPr="001B1C7A">
        <w:rPr>
          <w:rFonts w:ascii="Garamond" w:hAnsi="Garamond"/>
          <w:color w:val="000000" w:themeColor="text1"/>
        </w:rPr>
        <w:t xml:space="preserve"> This first sentences made the case that Britain could control the oil, but anyone could develop it. </w:t>
      </w:r>
      <w:r w:rsidR="00194DC6">
        <w:rPr>
          <w:rFonts w:ascii="Garamond" w:hAnsi="Garamond"/>
          <w:color w:val="000000" w:themeColor="text1"/>
        </w:rPr>
        <w:t>Extrapolating</w:t>
      </w:r>
      <w:r w:rsidR="0030323A" w:rsidRPr="001B1C7A">
        <w:rPr>
          <w:rFonts w:ascii="Garamond" w:hAnsi="Garamond"/>
          <w:color w:val="000000" w:themeColor="text1"/>
        </w:rPr>
        <w:t>, Yale says “To make assurance doubly sure some arrangement about pipe-lines might be made by which the control of the supply, and its exportation would in case of war be absolutely in the hands of the British.”</w:t>
      </w:r>
      <w:r w:rsidR="0030323A" w:rsidRPr="001B1C7A">
        <w:rPr>
          <w:rStyle w:val="FootnoteReference"/>
          <w:rFonts w:ascii="Garamond" w:hAnsi="Garamond"/>
          <w:color w:val="000000" w:themeColor="text1"/>
        </w:rPr>
        <w:footnoteReference w:id="216"/>
      </w:r>
      <w:r w:rsidR="0030323A" w:rsidRPr="001B1C7A">
        <w:rPr>
          <w:rFonts w:ascii="Garamond" w:hAnsi="Garamond"/>
          <w:color w:val="000000" w:themeColor="text1"/>
        </w:rPr>
        <w:t xml:space="preserve"> This solution would allay British fears of wartime disruption of oil while allowing Standard Oil entry to the market.</w:t>
      </w:r>
      <w:r>
        <w:rPr>
          <w:rFonts w:ascii="Garamond" w:hAnsi="Garamond"/>
          <w:color w:val="000000" w:themeColor="text1"/>
        </w:rPr>
        <w:t xml:space="preserve"> </w:t>
      </w:r>
    </w:p>
    <w:p w14:paraId="1CE32FD5" w14:textId="52F0F56C" w:rsidR="009D4820" w:rsidRDefault="00FC2561" w:rsidP="009D4820">
      <w:pPr>
        <w:spacing w:line="480" w:lineRule="auto"/>
        <w:ind w:firstLine="720"/>
        <w:rPr>
          <w:rFonts w:ascii="Garamond" w:hAnsi="Garamond"/>
          <w:color w:val="000000" w:themeColor="text1"/>
        </w:rPr>
      </w:pPr>
      <w:r>
        <w:rPr>
          <w:rFonts w:ascii="Garamond" w:hAnsi="Garamond"/>
          <w:color w:val="000000" w:themeColor="text1"/>
        </w:rPr>
        <w:t>The Yale Plan exemplifies the quintessence of</w:t>
      </w:r>
      <w:r w:rsidR="00982996">
        <w:rPr>
          <w:rFonts w:ascii="Garamond" w:hAnsi="Garamond"/>
          <w:color w:val="000000" w:themeColor="text1"/>
        </w:rPr>
        <w:t xml:space="preserve"> oil’s</w:t>
      </w:r>
      <w:r>
        <w:rPr>
          <w:rFonts w:ascii="Garamond" w:hAnsi="Garamond"/>
          <w:color w:val="000000" w:themeColor="text1"/>
        </w:rPr>
        <w:t xml:space="preserve"> security </w:t>
      </w:r>
      <w:r w:rsidR="00982996">
        <w:rPr>
          <w:rFonts w:ascii="Garamond" w:hAnsi="Garamond"/>
          <w:color w:val="000000" w:themeColor="text1"/>
        </w:rPr>
        <w:t>importance</w:t>
      </w:r>
      <w:r>
        <w:rPr>
          <w:rFonts w:ascii="Garamond" w:hAnsi="Garamond"/>
          <w:color w:val="000000" w:themeColor="text1"/>
        </w:rPr>
        <w:t xml:space="preserve">. </w:t>
      </w:r>
      <w:r w:rsidRPr="008F2A5E">
        <w:rPr>
          <w:rFonts w:ascii="Garamond" w:hAnsi="Garamond"/>
          <w:color w:val="000000" w:themeColor="text1"/>
        </w:rPr>
        <w:t>As mentioned in section two of the background</w:t>
      </w:r>
      <w:r>
        <w:rPr>
          <w:rFonts w:ascii="Garamond" w:hAnsi="Garamond"/>
          <w:color w:val="000000" w:themeColor="text1"/>
        </w:rPr>
        <w:t>, Secretary of the Navy Daniels proposed a plan reminiscent of thi</w:t>
      </w:r>
      <w:r w:rsidR="00AB21CF">
        <w:rPr>
          <w:rFonts w:ascii="Garamond" w:hAnsi="Garamond"/>
          <w:color w:val="000000" w:themeColor="text1"/>
        </w:rPr>
        <w:t xml:space="preserve">s: the Daniels </w:t>
      </w:r>
      <w:r w:rsidR="00515DA9">
        <w:rPr>
          <w:rFonts w:ascii="Garamond" w:hAnsi="Garamond"/>
          <w:color w:val="000000" w:themeColor="text1"/>
        </w:rPr>
        <w:t>Plan</w:t>
      </w:r>
      <w:r>
        <w:rPr>
          <w:rFonts w:ascii="Garamond" w:hAnsi="Garamond"/>
          <w:color w:val="000000" w:themeColor="text1"/>
        </w:rPr>
        <w:t>. In 1913, after commissioning two oil burning ships, Daniels began advocating for the Navy to lease its own oil lands and refine its own oil.</w:t>
      </w:r>
      <w:r>
        <w:rPr>
          <w:rStyle w:val="FootnoteReference"/>
          <w:rFonts w:ascii="Garamond" w:hAnsi="Garamond"/>
          <w:color w:val="000000" w:themeColor="text1"/>
        </w:rPr>
        <w:footnoteReference w:id="217"/>
      </w:r>
      <w:r>
        <w:rPr>
          <w:rFonts w:ascii="Garamond" w:hAnsi="Garamond"/>
          <w:color w:val="000000" w:themeColor="text1"/>
        </w:rPr>
        <w:t xml:space="preserve"> </w:t>
      </w:r>
      <w:r w:rsidR="009D4820">
        <w:rPr>
          <w:rFonts w:ascii="Garamond" w:hAnsi="Garamond"/>
          <w:color w:val="000000" w:themeColor="text1"/>
        </w:rPr>
        <w:t>Daniels wr</w:t>
      </w:r>
      <w:r w:rsidR="00BC0C6A">
        <w:rPr>
          <w:rFonts w:ascii="Garamond" w:hAnsi="Garamond"/>
          <w:color w:val="000000" w:themeColor="text1"/>
        </w:rPr>
        <w:t>ites</w:t>
      </w:r>
      <w:r w:rsidR="009D4820">
        <w:rPr>
          <w:rFonts w:ascii="Garamond" w:hAnsi="Garamond"/>
          <w:color w:val="000000" w:themeColor="text1"/>
        </w:rPr>
        <w:t xml:space="preserve"> “</w:t>
      </w:r>
      <w:r w:rsidR="009D4820" w:rsidRPr="009D4820">
        <w:rPr>
          <w:rFonts w:ascii="Garamond" w:hAnsi="Garamond"/>
          <w:color w:val="000000" w:themeColor="text1"/>
        </w:rPr>
        <w:t xml:space="preserve">The only relief possible from what will be a stagger- ing item in the expense account of the Navy in the future is in the </w:t>
      </w:r>
      <w:r w:rsidR="009D4820" w:rsidRPr="009D4820">
        <w:rPr>
          <w:rFonts w:ascii="Garamond" w:hAnsi="Garamond"/>
          <w:color w:val="000000" w:themeColor="text1"/>
        </w:rPr>
        <w:lastRenderedPageBreak/>
        <w:t>control of oil wells and the refining of its own oil by the Navy De-</w:t>
      </w:r>
      <w:r w:rsidR="009D4820">
        <w:rPr>
          <w:rFonts w:ascii="Garamond" w:hAnsi="Garamond"/>
          <w:color w:val="000000" w:themeColor="text1"/>
        </w:rPr>
        <w:t xml:space="preserve"> partment.”</w:t>
      </w:r>
      <w:r w:rsidR="009D4820">
        <w:rPr>
          <w:rStyle w:val="FootnoteReference"/>
          <w:rFonts w:ascii="Garamond" w:hAnsi="Garamond"/>
          <w:color w:val="000000" w:themeColor="text1"/>
        </w:rPr>
        <w:footnoteReference w:id="218"/>
      </w:r>
      <w:r w:rsidR="009D4820">
        <w:rPr>
          <w:rFonts w:ascii="Garamond" w:hAnsi="Garamond"/>
          <w:color w:val="000000" w:themeColor="text1"/>
        </w:rPr>
        <w:t xml:space="preserve"> A small group of oil companies controlled </w:t>
      </w:r>
      <w:r w:rsidR="0023180C">
        <w:rPr>
          <w:rFonts w:ascii="Garamond" w:hAnsi="Garamond"/>
          <w:color w:val="000000" w:themeColor="text1"/>
        </w:rPr>
        <w:t xml:space="preserve">all </w:t>
      </w:r>
      <w:r w:rsidR="009D4820">
        <w:rPr>
          <w:rFonts w:ascii="Garamond" w:hAnsi="Garamond"/>
          <w:color w:val="000000" w:themeColor="text1"/>
        </w:rPr>
        <w:t>the major pipelines</w:t>
      </w:r>
      <w:r w:rsidR="00982996">
        <w:rPr>
          <w:rFonts w:ascii="Garamond" w:hAnsi="Garamond"/>
          <w:color w:val="000000" w:themeColor="text1"/>
        </w:rPr>
        <w:t>, and their</w:t>
      </w:r>
      <w:r w:rsidR="009D4820">
        <w:rPr>
          <w:rFonts w:ascii="Garamond" w:hAnsi="Garamond"/>
          <w:color w:val="000000" w:themeColor="text1"/>
        </w:rPr>
        <w:t xml:space="preserve"> monopolistic control </w:t>
      </w:r>
      <w:r w:rsidR="00685E38">
        <w:rPr>
          <w:rFonts w:ascii="Garamond" w:hAnsi="Garamond"/>
          <w:color w:val="000000" w:themeColor="text1"/>
        </w:rPr>
        <w:t xml:space="preserve">artificially raised the prices </w:t>
      </w:r>
      <w:r w:rsidR="0023180C">
        <w:rPr>
          <w:rFonts w:ascii="Garamond" w:hAnsi="Garamond"/>
          <w:color w:val="000000" w:themeColor="text1"/>
        </w:rPr>
        <w:t xml:space="preserve">of transporting oil </w:t>
      </w:r>
      <w:r w:rsidR="009D4820">
        <w:rPr>
          <w:rFonts w:ascii="Garamond" w:hAnsi="Garamond"/>
          <w:color w:val="000000" w:themeColor="text1"/>
        </w:rPr>
        <w:t>due to its growing, inelastic demand. Daniels wanted to circumvent these companies by building a</w:t>
      </w:r>
      <w:r w:rsidR="00AB21CF">
        <w:rPr>
          <w:rFonts w:ascii="Garamond" w:hAnsi="Garamond"/>
          <w:color w:val="000000" w:themeColor="text1"/>
        </w:rPr>
        <w:t xml:space="preserve"> </w:t>
      </w:r>
      <w:r w:rsidR="009D4820">
        <w:rPr>
          <w:rFonts w:ascii="Garamond" w:hAnsi="Garamond"/>
          <w:color w:val="000000" w:themeColor="text1"/>
        </w:rPr>
        <w:t>pipeline from oil fields in the mid continental U.S. to a refinery on the Gulf Coast.</w:t>
      </w:r>
      <w:r w:rsidR="009D4820">
        <w:rPr>
          <w:rStyle w:val="FootnoteReference"/>
          <w:rFonts w:ascii="Garamond" w:hAnsi="Garamond"/>
          <w:color w:val="000000" w:themeColor="text1"/>
        </w:rPr>
        <w:footnoteReference w:id="219"/>
      </w:r>
      <w:r w:rsidR="009D4820">
        <w:rPr>
          <w:rFonts w:ascii="Garamond" w:hAnsi="Garamond"/>
          <w:color w:val="000000" w:themeColor="text1"/>
        </w:rPr>
        <w:t xml:space="preserve"> Policymakers, however, favored regulation instead of the Daniels Plan. </w:t>
      </w:r>
    </w:p>
    <w:p w14:paraId="1DB3602F" w14:textId="5FD867EB" w:rsidR="00FC2561" w:rsidRDefault="009D4820" w:rsidP="00EB41DF">
      <w:pPr>
        <w:spacing w:line="480" w:lineRule="auto"/>
        <w:ind w:firstLine="720"/>
        <w:rPr>
          <w:rFonts w:ascii="Garamond" w:hAnsi="Garamond"/>
          <w:color w:val="000000" w:themeColor="text1"/>
        </w:rPr>
      </w:pPr>
      <w:r>
        <w:rPr>
          <w:rFonts w:ascii="Garamond" w:hAnsi="Garamond"/>
          <w:color w:val="000000" w:themeColor="text1"/>
        </w:rPr>
        <w:t xml:space="preserve">The Yale Plan is almost an exact replica of the Daniels Plan, but in Mesopotamia, and </w:t>
      </w:r>
      <w:r w:rsidR="0023180C">
        <w:rPr>
          <w:rFonts w:ascii="Garamond" w:hAnsi="Garamond"/>
          <w:color w:val="000000" w:themeColor="text1"/>
        </w:rPr>
        <w:t>for the</w:t>
      </w:r>
      <w:r>
        <w:rPr>
          <w:rFonts w:ascii="Garamond" w:hAnsi="Garamond"/>
          <w:color w:val="000000" w:themeColor="text1"/>
        </w:rPr>
        <w:t xml:space="preserve"> British </w:t>
      </w:r>
      <w:r w:rsidR="003022E7">
        <w:rPr>
          <w:rFonts w:ascii="Garamond" w:hAnsi="Garamond"/>
          <w:color w:val="000000" w:themeColor="text1"/>
        </w:rPr>
        <w:t>in wartime</w:t>
      </w:r>
      <w:r>
        <w:rPr>
          <w:rFonts w:ascii="Garamond" w:hAnsi="Garamond"/>
          <w:color w:val="000000" w:themeColor="text1"/>
        </w:rPr>
        <w:t>. Yale’s knew the British were thinking of oil in terms of war, which is how Daniels thought when creating the Daniels Plan</w:t>
      </w:r>
      <w:r w:rsidR="0023180C">
        <w:rPr>
          <w:rFonts w:ascii="Garamond" w:hAnsi="Garamond"/>
          <w:color w:val="000000" w:themeColor="text1"/>
        </w:rPr>
        <w:t xml:space="preserve"> – he did not wa</w:t>
      </w:r>
      <w:r w:rsidR="00441799">
        <w:rPr>
          <w:rFonts w:ascii="Garamond" w:hAnsi="Garamond"/>
          <w:color w:val="000000" w:themeColor="text1"/>
        </w:rPr>
        <w:t>n</w:t>
      </w:r>
      <w:r w:rsidR="0023180C">
        <w:rPr>
          <w:rFonts w:ascii="Garamond" w:hAnsi="Garamond"/>
          <w:color w:val="000000" w:themeColor="text1"/>
        </w:rPr>
        <w:t>t the U.S. Navy economically crippled because of Standard Oil’s monopoly</w:t>
      </w:r>
      <w:r w:rsidR="000857B3">
        <w:rPr>
          <w:rFonts w:ascii="Garamond" w:hAnsi="Garamond"/>
          <w:color w:val="000000" w:themeColor="text1"/>
        </w:rPr>
        <w:t>.</w:t>
      </w:r>
      <w:r>
        <w:rPr>
          <w:rFonts w:ascii="Garamond" w:hAnsi="Garamond"/>
          <w:color w:val="000000" w:themeColor="text1"/>
        </w:rPr>
        <w:t xml:space="preserve"> Although Yale advocated for British control, not U.S., Yale was thinking this way because he understood that even conditioned U.S. access to Mesopotamian was critical</w:t>
      </w:r>
      <w:r w:rsidR="00EB41DF">
        <w:rPr>
          <w:rFonts w:ascii="Garamond" w:hAnsi="Garamond"/>
          <w:color w:val="000000" w:themeColor="text1"/>
        </w:rPr>
        <w:t xml:space="preserve">. </w:t>
      </w:r>
      <w:r w:rsidR="0023180C">
        <w:rPr>
          <w:rFonts w:ascii="Garamond" w:hAnsi="Garamond"/>
          <w:color w:val="000000" w:themeColor="text1"/>
        </w:rPr>
        <w:t xml:space="preserve">At the time of the Yale Plan, Daniels was Secretary of the Navy, but nothing from Daniels’ archived correspondence suggests that he </w:t>
      </w:r>
      <w:r w:rsidR="00AB21CF">
        <w:rPr>
          <w:rFonts w:ascii="Garamond" w:hAnsi="Garamond"/>
          <w:color w:val="000000" w:themeColor="text1"/>
        </w:rPr>
        <w:t>influenced</w:t>
      </w:r>
      <w:r w:rsidR="0023180C">
        <w:rPr>
          <w:rFonts w:ascii="Garamond" w:hAnsi="Garamond"/>
          <w:color w:val="000000" w:themeColor="text1"/>
        </w:rPr>
        <w:t xml:space="preserve"> the Yale Plan. </w:t>
      </w:r>
      <w:r w:rsidR="00C6532D">
        <w:rPr>
          <w:rFonts w:ascii="Garamond" w:hAnsi="Garamond"/>
          <w:color w:val="000000" w:themeColor="text1"/>
        </w:rPr>
        <w:t>Regardless, the Yale Plan</w:t>
      </w:r>
      <w:r w:rsidR="0023180C">
        <w:rPr>
          <w:rFonts w:ascii="Garamond" w:hAnsi="Garamond"/>
          <w:color w:val="000000" w:themeColor="text1"/>
        </w:rPr>
        <w:t xml:space="preserve"> mirrored </w:t>
      </w:r>
      <w:r w:rsidR="00AB21CF">
        <w:rPr>
          <w:rFonts w:ascii="Garamond" w:hAnsi="Garamond"/>
          <w:color w:val="000000" w:themeColor="text1"/>
        </w:rPr>
        <w:t>ideas</w:t>
      </w:r>
      <w:r w:rsidR="0023180C">
        <w:rPr>
          <w:rFonts w:ascii="Garamond" w:hAnsi="Garamond"/>
          <w:color w:val="000000" w:themeColor="text1"/>
        </w:rPr>
        <w:t xml:space="preserve"> </w:t>
      </w:r>
      <w:r w:rsidR="006D0CC2">
        <w:rPr>
          <w:rFonts w:ascii="Garamond" w:hAnsi="Garamond"/>
          <w:color w:val="000000" w:themeColor="text1"/>
        </w:rPr>
        <w:t>conceived</w:t>
      </w:r>
      <w:r w:rsidR="0023180C">
        <w:rPr>
          <w:rFonts w:ascii="Garamond" w:hAnsi="Garamond"/>
          <w:color w:val="000000" w:themeColor="text1"/>
        </w:rPr>
        <w:t xml:space="preserve"> in the name of security </w:t>
      </w:r>
      <w:r w:rsidR="00C6532D">
        <w:rPr>
          <w:rFonts w:ascii="Garamond" w:hAnsi="Garamond"/>
          <w:color w:val="000000" w:themeColor="text1"/>
        </w:rPr>
        <w:t>seven</w:t>
      </w:r>
      <w:r w:rsidR="0023180C">
        <w:rPr>
          <w:rFonts w:ascii="Garamond" w:hAnsi="Garamond"/>
          <w:color w:val="000000" w:themeColor="text1"/>
        </w:rPr>
        <w:t xml:space="preserve"> years </w:t>
      </w:r>
      <w:r w:rsidR="00C6532D">
        <w:rPr>
          <w:rFonts w:ascii="Garamond" w:hAnsi="Garamond"/>
          <w:color w:val="000000" w:themeColor="text1"/>
        </w:rPr>
        <w:t>previous</w:t>
      </w:r>
      <w:r w:rsidR="0023180C">
        <w:rPr>
          <w:rFonts w:ascii="Garamond" w:hAnsi="Garamond"/>
          <w:color w:val="000000" w:themeColor="text1"/>
        </w:rPr>
        <w:t xml:space="preserve">. </w:t>
      </w:r>
    </w:p>
    <w:p w14:paraId="6AD38392" w14:textId="68A6F5FD" w:rsidR="0030323A" w:rsidRPr="001B1C7A" w:rsidRDefault="0030323A" w:rsidP="0030323A">
      <w:pPr>
        <w:spacing w:line="480" w:lineRule="auto"/>
        <w:ind w:firstLine="720"/>
        <w:rPr>
          <w:rFonts w:ascii="Garamond" w:hAnsi="Garamond"/>
          <w:color w:val="000000" w:themeColor="text1"/>
        </w:rPr>
      </w:pPr>
      <w:r w:rsidRPr="001B1C7A">
        <w:rPr>
          <w:rFonts w:ascii="Garamond" w:hAnsi="Garamond"/>
          <w:color w:val="000000" w:themeColor="text1"/>
        </w:rPr>
        <w:t xml:space="preserve">Yale also discussed revenues for the state of Mesopotamia – one of the first mentions of the people benefiting from an otherwise extractive system. Yale finishes this paragraph with “the petroleum resources of Mesopotamia would remain entirely in the hands of the British, while the commercial development of the oil supplies would be open to all competitors. Any legitimate fear of the British Admiralty would be allayed and any legitimate rights of the British would be safe guarded; and the </w:t>
      </w:r>
      <w:r w:rsidR="00C6532D">
        <w:rPr>
          <w:rFonts w:ascii="Garamond" w:hAnsi="Garamond"/>
          <w:color w:val="000000" w:themeColor="text1"/>
        </w:rPr>
        <w:t>Open Door</w:t>
      </w:r>
      <w:r w:rsidRPr="001B1C7A">
        <w:rPr>
          <w:rFonts w:ascii="Garamond" w:hAnsi="Garamond"/>
          <w:color w:val="000000" w:themeColor="text1"/>
        </w:rPr>
        <w:t xml:space="preserve"> policy would be sustained.” Although Yale had been advocating for principles of the </w:t>
      </w:r>
      <w:r w:rsidR="00C6532D">
        <w:rPr>
          <w:rFonts w:ascii="Garamond" w:hAnsi="Garamond"/>
          <w:color w:val="000000" w:themeColor="text1"/>
        </w:rPr>
        <w:t>Open Door</w:t>
      </w:r>
      <w:r w:rsidRPr="001B1C7A">
        <w:rPr>
          <w:rFonts w:ascii="Garamond" w:hAnsi="Garamond"/>
          <w:color w:val="000000" w:themeColor="text1"/>
        </w:rPr>
        <w:t xml:space="preserve"> for the </w:t>
      </w:r>
      <w:r w:rsidR="009E2506">
        <w:rPr>
          <w:rFonts w:ascii="Garamond" w:hAnsi="Garamond"/>
          <w:color w:val="000000" w:themeColor="text1"/>
        </w:rPr>
        <w:t xml:space="preserve">entire </w:t>
      </w:r>
      <w:r w:rsidRPr="001B1C7A">
        <w:rPr>
          <w:rFonts w:ascii="Garamond" w:hAnsi="Garamond"/>
          <w:color w:val="000000" w:themeColor="text1"/>
        </w:rPr>
        <w:t xml:space="preserve">report, this sentence </w:t>
      </w:r>
      <w:r w:rsidR="009E2506">
        <w:rPr>
          <w:rFonts w:ascii="Garamond" w:hAnsi="Garamond"/>
          <w:color w:val="000000" w:themeColor="text1"/>
        </w:rPr>
        <w:t>is</w:t>
      </w:r>
      <w:r w:rsidRPr="001B1C7A">
        <w:rPr>
          <w:rFonts w:ascii="Garamond" w:hAnsi="Garamond"/>
          <w:color w:val="000000" w:themeColor="text1"/>
        </w:rPr>
        <w:t xml:space="preserve"> the first time he mentions the principle</w:t>
      </w:r>
      <w:r w:rsidR="009E2506">
        <w:rPr>
          <w:rFonts w:ascii="Garamond" w:hAnsi="Garamond"/>
          <w:color w:val="000000" w:themeColor="text1"/>
        </w:rPr>
        <w:t xml:space="preserve">. </w:t>
      </w:r>
    </w:p>
    <w:p w14:paraId="6498463E" w14:textId="231BD835" w:rsidR="0030323A" w:rsidRPr="001B1C7A" w:rsidRDefault="0030323A" w:rsidP="008A7D69">
      <w:pPr>
        <w:spacing w:line="480" w:lineRule="auto"/>
        <w:ind w:firstLine="720"/>
        <w:rPr>
          <w:rFonts w:ascii="Garamond" w:hAnsi="Garamond"/>
          <w:color w:val="000000" w:themeColor="text1"/>
        </w:rPr>
      </w:pPr>
      <w:r w:rsidRPr="001B1C7A">
        <w:rPr>
          <w:rFonts w:ascii="Garamond" w:hAnsi="Garamond"/>
          <w:color w:val="000000" w:themeColor="text1"/>
        </w:rPr>
        <w:t>Yale concludes the section with an excerpt that summarily captures, and advocates for, the ideas he and Thoma</w:t>
      </w:r>
      <w:r>
        <w:rPr>
          <w:rFonts w:ascii="Garamond" w:hAnsi="Garamond"/>
          <w:color w:val="000000" w:themeColor="text1"/>
        </w:rPr>
        <w:t>s</w:t>
      </w:r>
      <w:r w:rsidRPr="001B1C7A">
        <w:rPr>
          <w:rFonts w:ascii="Garamond" w:hAnsi="Garamond"/>
          <w:color w:val="000000" w:themeColor="text1"/>
        </w:rPr>
        <w:t xml:space="preserve"> had been purveying for months:</w:t>
      </w:r>
    </w:p>
    <w:p w14:paraId="40CBA7DE" w14:textId="6837E0D8" w:rsidR="0030323A" w:rsidRPr="001B1C7A" w:rsidRDefault="0030323A" w:rsidP="008A7D69">
      <w:pPr>
        <w:ind w:firstLine="720"/>
        <w:rPr>
          <w:rFonts w:ascii="Garamond" w:hAnsi="Garamond"/>
          <w:color w:val="000000" w:themeColor="text1"/>
        </w:rPr>
      </w:pPr>
      <w:r w:rsidRPr="001B1C7A">
        <w:rPr>
          <w:rFonts w:ascii="Garamond" w:hAnsi="Garamond"/>
          <w:color w:val="000000" w:themeColor="text1"/>
        </w:rPr>
        <w:t xml:space="preserve">The monopoly of the petroleum resources of Mesopotamia is a question which not only affects one of America’s greatest industries and the American petroleum consumers, but one which affects any decent settlement of the complex question arising out of the dissolution of the Ottoman </w:t>
      </w:r>
      <w:r w:rsidRPr="001B1C7A">
        <w:rPr>
          <w:rFonts w:ascii="Garamond" w:hAnsi="Garamond"/>
          <w:color w:val="000000" w:themeColor="text1"/>
        </w:rPr>
        <w:lastRenderedPageBreak/>
        <w:t>Empire and the disposal of former German colonies of South Africa. The entire question of fair play in international commercial relations and the policy of the “</w:t>
      </w:r>
      <w:r w:rsidR="00C6532D">
        <w:rPr>
          <w:rFonts w:ascii="Garamond" w:hAnsi="Garamond"/>
          <w:color w:val="000000" w:themeColor="text1"/>
        </w:rPr>
        <w:t>Open Door</w:t>
      </w:r>
      <w:r w:rsidRPr="001B1C7A">
        <w:rPr>
          <w:rFonts w:ascii="Garamond" w:hAnsi="Garamond"/>
          <w:color w:val="000000" w:themeColor="text1"/>
        </w:rPr>
        <w:t>” is threatened by the monopoly of the Mesopotamian oil fields contemplated by Great Britain.</w:t>
      </w:r>
      <w:r w:rsidRPr="001B1C7A">
        <w:rPr>
          <w:rStyle w:val="FootnoteReference"/>
          <w:rFonts w:ascii="Garamond" w:hAnsi="Garamond"/>
          <w:color w:val="000000" w:themeColor="text1"/>
        </w:rPr>
        <w:footnoteReference w:id="220"/>
      </w:r>
      <w:r w:rsidRPr="001B1C7A">
        <w:rPr>
          <w:rFonts w:ascii="Garamond" w:hAnsi="Garamond"/>
          <w:color w:val="000000" w:themeColor="text1"/>
        </w:rPr>
        <w:t xml:space="preserve"> </w:t>
      </w:r>
    </w:p>
    <w:p w14:paraId="5FF3C657" w14:textId="7E422784" w:rsidR="0030323A" w:rsidRDefault="0030323A" w:rsidP="0030323A">
      <w:pPr>
        <w:spacing w:line="480" w:lineRule="auto"/>
        <w:ind w:firstLine="720"/>
        <w:rPr>
          <w:rFonts w:ascii="Garamond" w:hAnsi="Garamond"/>
          <w:color w:val="000000" w:themeColor="text1"/>
        </w:rPr>
      </w:pPr>
    </w:p>
    <w:p w14:paraId="55B4A99C" w14:textId="0CBDB31B" w:rsidR="0030323A" w:rsidRPr="001B1C7A" w:rsidRDefault="00B06635" w:rsidP="00733E17">
      <w:pPr>
        <w:spacing w:line="480" w:lineRule="auto"/>
        <w:ind w:firstLine="720"/>
        <w:rPr>
          <w:rFonts w:ascii="Garamond" w:hAnsi="Garamond"/>
          <w:color w:val="000000" w:themeColor="text1"/>
        </w:rPr>
      </w:pPr>
      <w:r>
        <w:rPr>
          <w:rFonts w:ascii="Garamond" w:hAnsi="Garamond"/>
          <w:color w:val="000000" w:themeColor="text1"/>
        </w:rPr>
        <w:t xml:space="preserve">This excerpt shows that Yale was not just thinking of oil in terms of “American petroleum consumers” but also “international commercial relations.” </w:t>
      </w:r>
      <w:r w:rsidR="00880697">
        <w:rPr>
          <w:rFonts w:ascii="Garamond" w:hAnsi="Garamond"/>
          <w:color w:val="000000" w:themeColor="text1"/>
        </w:rPr>
        <w:t>I</w:t>
      </w:r>
      <w:r>
        <w:rPr>
          <w:rFonts w:ascii="Garamond" w:hAnsi="Garamond"/>
          <w:color w:val="000000" w:themeColor="text1"/>
        </w:rPr>
        <w:t>nternational commercial relations mean</w:t>
      </w:r>
      <w:r w:rsidR="008F2A5E">
        <w:rPr>
          <w:rFonts w:ascii="Garamond" w:hAnsi="Garamond"/>
          <w:color w:val="000000" w:themeColor="text1"/>
        </w:rPr>
        <w:t>t</w:t>
      </w:r>
      <w:r>
        <w:rPr>
          <w:rFonts w:ascii="Garamond" w:hAnsi="Garamond"/>
          <w:color w:val="000000" w:themeColor="text1"/>
        </w:rPr>
        <w:t xml:space="preserve"> ensuring that the U.S. d</w:t>
      </w:r>
      <w:r w:rsidR="008F2A5E">
        <w:rPr>
          <w:rFonts w:ascii="Garamond" w:hAnsi="Garamond"/>
          <w:color w:val="000000" w:themeColor="text1"/>
        </w:rPr>
        <w:t>id</w:t>
      </w:r>
      <w:r>
        <w:rPr>
          <w:rFonts w:ascii="Garamond" w:hAnsi="Garamond"/>
          <w:color w:val="000000" w:themeColor="text1"/>
        </w:rPr>
        <w:t xml:space="preserve"> not face an oil shortage, especially because of British exclusion</w:t>
      </w:r>
      <w:r w:rsidR="00880697">
        <w:rPr>
          <w:rFonts w:ascii="Garamond" w:hAnsi="Garamond"/>
          <w:color w:val="000000" w:themeColor="text1"/>
        </w:rPr>
        <w:t>.</w:t>
      </w:r>
      <w:r>
        <w:rPr>
          <w:rFonts w:ascii="Garamond" w:hAnsi="Garamond"/>
          <w:color w:val="000000" w:themeColor="text1"/>
        </w:rPr>
        <w:t xml:space="preserve"> </w:t>
      </w:r>
    </w:p>
    <w:p w14:paraId="0EDBAA87" w14:textId="77777777" w:rsidR="0030323A" w:rsidRDefault="0030323A" w:rsidP="0030323A">
      <w:pPr>
        <w:pStyle w:val="Heading3"/>
        <w:numPr>
          <w:ilvl w:val="0"/>
          <w:numId w:val="40"/>
        </w:numPr>
        <w:rPr>
          <w:rFonts w:ascii="Garamond" w:hAnsi="Garamond"/>
          <w:color w:val="000000" w:themeColor="text1"/>
        </w:rPr>
      </w:pPr>
      <w:bookmarkStart w:id="63" w:name="_Toc66731814"/>
      <w:r w:rsidRPr="004802DF">
        <w:rPr>
          <w:rFonts w:ascii="Garamond" w:hAnsi="Garamond"/>
          <w:color w:val="000000" w:themeColor="text1"/>
        </w:rPr>
        <w:t>Buckler and “The Position of the Syrian Question Today”</w:t>
      </w:r>
      <w:bookmarkEnd w:id="63"/>
    </w:p>
    <w:p w14:paraId="1C29C341" w14:textId="77777777" w:rsidR="0030323A" w:rsidRPr="004802DF" w:rsidRDefault="0030323A" w:rsidP="0030323A"/>
    <w:p w14:paraId="09344FA9" w14:textId="455EF086"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After Yale received a scolding from Phillips, and sent his report to both Buckler and Davis, he returned to the U.S.</w:t>
      </w:r>
      <w:r w:rsidRPr="001B1C7A">
        <w:rPr>
          <w:rStyle w:val="FootnoteReference"/>
          <w:rFonts w:ascii="Garamond" w:hAnsi="Garamond"/>
          <w:color w:val="000000" w:themeColor="text1"/>
        </w:rPr>
        <w:footnoteReference w:id="221"/>
      </w:r>
      <w:r w:rsidRPr="001B1C7A">
        <w:rPr>
          <w:rFonts w:ascii="Garamond" w:hAnsi="Garamond"/>
          <w:color w:val="000000" w:themeColor="text1"/>
        </w:rPr>
        <w:t xml:space="preserve"> On November 26, 1919, </w:t>
      </w:r>
      <w:r w:rsidR="00B37772">
        <w:rPr>
          <w:rFonts w:ascii="Garamond" w:hAnsi="Garamond"/>
          <w:color w:val="000000" w:themeColor="text1"/>
        </w:rPr>
        <w:t>Buckler</w:t>
      </w:r>
      <w:r w:rsidR="00B37772" w:rsidRPr="001B1C7A">
        <w:rPr>
          <w:rFonts w:ascii="Garamond" w:hAnsi="Garamond"/>
          <w:color w:val="000000" w:themeColor="text1"/>
        </w:rPr>
        <w:t xml:space="preserve"> </w:t>
      </w:r>
      <w:r w:rsidRPr="001B1C7A">
        <w:rPr>
          <w:rFonts w:ascii="Garamond" w:hAnsi="Garamond"/>
          <w:color w:val="000000" w:themeColor="text1"/>
        </w:rPr>
        <w:t>synthesized Yale’s report, and other findings, into a document titled “Memorandum on the Policy of the United States Relative to the Treaty with Turkey,” which he submitted to the American Commission to Negotiate Peace.</w:t>
      </w:r>
      <w:r w:rsidRPr="001B1C7A">
        <w:rPr>
          <w:rStyle w:val="FootnoteReference"/>
          <w:rFonts w:ascii="Garamond" w:hAnsi="Garamond"/>
          <w:color w:val="000000" w:themeColor="text1"/>
        </w:rPr>
        <w:footnoteReference w:id="222"/>
      </w:r>
      <w:r w:rsidRPr="001B1C7A">
        <w:rPr>
          <w:rFonts w:ascii="Garamond" w:hAnsi="Garamond"/>
          <w:color w:val="000000" w:themeColor="text1"/>
        </w:rPr>
        <w:t xml:space="preserve"> Buckler argued that the U.S. needed a definite “Turkish Policy”, implying that, hitherto, the U.S. had remained indolent towards the settlement of the Ottoman Empire. Buckler saw the U.S. assuming an increasingly active role in Constantinople, Anatolia, Kurdistan</w:t>
      </w:r>
      <w:r w:rsidR="00ED1823">
        <w:rPr>
          <w:rFonts w:ascii="Garamond" w:hAnsi="Garamond"/>
          <w:color w:val="000000" w:themeColor="text1"/>
        </w:rPr>
        <w:t xml:space="preserve">, </w:t>
      </w:r>
      <w:r w:rsidRPr="001B1C7A">
        <w:rPr>
          <w:rFonts w:ascii="Garamond" w:hAnsi="Garamond"/>
          <w:color w:val="000000" w:themeColor="text1"/>
        </w:rPr>
        <w:t>Armenia and the Levant.</w:t>
      </w:r>
      <w:r w:rsidRPr="001B1C7A">
        <w:rPr>
          <w:rStyle w:val="FootnoteReference"/>
          <w:rFonts w:ascii="Garamond" w:hAnsi="Garamond"/>
          <w:color w:val="000000" w:themeColor="text1"/>
        </w:rPr>
        <w:footnoteReference w:id="223"/>
      </w:r>
      <w:r w:rsidRPr="001B1C7A">
        <w:rPr>
          <w:rFonts w:ascii="Garamond" w:hAnsi="Garamond"/>
          <w:color w:val="000000" w:themeColor="text1"/>
        </w:rPr>
        <w:t xml:space="preserve"> Whether this involvement took the form of an American Mandate over certain regions; American troops; or American money, Buckler </w:t>
      </w:r>
      <w:r w:rsidR="00853E58">
        <w:rPr>
          <w:rFonts w:ascii="Garamond" w:hAnsi="Garamond"/>
          <w:color w:val="000000" w:themeColor="text1"/>
        </w:rPr>
        <w:t>left</w:t>
      </w:r>
      <w:r w:rsidR="00853E58" w:rsidRPr="001B1C7A">
        <w:rPr>
          <w:rFonts w:ascii="Garamond" w:hAnsi="Garamond"/>
          <w:color w:val="000000" w:themeColor="text1"/>
        </w:rPr>
        <w:t xml:space="preserve"> </w:t>
      </w:r>
      <w:r w:rsidRPr="001B1C7A">
        <w:rPr>
          <w:rFonts w:ascii="Garamond" w:hAnsi="Garamond"/>
          <w:color w:val="000000" w:themeColor="text1"/>
        </w:rPr>
        <w:t xml:space="preserve">room for further debate. In the conclusion of the report, however, Buckler </w:t>
      </w:r>
      <w:r w:rsidR="00ED1823">
        <w:rPr>
          <w:rFonts w:ascii="Garamond" w:hAnsi="Garamond"/>
          <w:color w:val="000000" w:themeColor="text1"/>
        </w:rPr>
        <w:t>ultimately</w:t>
      </w:r>
      <w:r w:rsidR="00ED1823" w:rsidRPr="001B1C7A">
        <w:rPr>
          <w:rFonts w:ascii="Garamond" w:hAnsi="Garamond"/>
          <w:color w:val="000000" w:themeColor="text1"/>
        </w:rPr>
        <w:t xml:space="preserve"> </w:t>
      </w:r>
      <w:r w:rsidRPr="001B1C7A">
        <w:rPr>
          <w:rFonts w:ascii="Garamond" w:hAnsi="Garamond"/>
          <w:color w:val="000000" w:themeColor="text1"/>
        </w:rPr>
        <w:t>argue</w:t>
      </w:r>
      <w:r w:rsidR="00853E58">
        <w:rPr>
          <w:rFonts w:ascii="Garamond" w:hAnsi="Garamond"/>
          <w:color w:val="000000" w:themeColor="text1"/>
        </w:rPr>
        <w:t>d</w:t>
      </w:r>
      <w:r w:rsidRPr="001B1C7A">
        <w:rPr>
          <w:rFonts w:ascii="Garamond" w:hAnsi="Garamond"/>
          <w:color w:val="000000" w:themeColor="text1"/>
        </w:rPr>
        <w:t xml:space="preserve"> for the “intervention of the United States</w:t>
      </w:r>
      <w:r w:rsidR="00B37772">
        <w:rPr>
          <w:rFonts w:ascii="Garamond" w:hAnsi="Garamond"/>
          <w:color w:val="000000" w:themeColor="text1"/>
        </w:rPr>
        <w:t>.</w:t>
      </w:r>
      <w:r w:rsidRPr="001B1C7A">
        <w:rPr>
          <w:rFonts w:ascii="Garamond" w:hAnsi="Garamond"/>
          <w:color w:val="000000" w:themeColor="text1"/>
        </w:rPr>
        <w:t xml:space="preserve">” </w:t>
      </w:r>
    </w:p>
    <w:p w14:paraId="36E0BEF7" w14:textId="5C5A0928"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Buckler </w:t>
      </w:r>
      <w:r w:rsidR="00B37772">
        <w:rPr>
          <w:rFonts w:ascii="Garamond" w:hAnsi="Garamond"/>
          <w:color w:val="000000" w:themeColor="text1"/>
        </w:rPr>
        <w:t>concludes</w:t>
      </w:r>
      <w:r w:rsidRPr="001B1C7A">
        <w:rPr>
          <w:rFonts w:ascii="Garamond" w:hAnsi="Garamond"/>
          <w:color w:val="000000" w:themeColor="text1"/>
        </w:rPr>
        <w:t xml:space="preserve"> with “in the interest of peace we ought not to permit a patchwork division of Turkey, based on the spoils system and callous to local sentiment, such as will certainly be made if America holds aloof.”</w:t>
      </w:r>
      <w:r w:rsidR="0067111D">
        <w:rPr>
          <w:rStyle w:val="FootnoteReference"/>
          <w:rFonts w:ascii="Garamond" w:hAnsi="Garamond"/>
          <w:color w:val="000000" w:themeColor="text1"/>
        </w:rPr>
        <w:footnoteReference w:id="224"/>
      </w:r>
      <w:r w:rsidRPr="001B1C7A">
        <w:rPr>
          <w:rFonts w:ascii="Garamond" w:hAnsi="Garamond"/>
          <w:color w:val="000000" w:themeColor="text1"/>
        </w:rPr>
        <w:t xml:space="preserve"> First, Buckler intimates that European division will </w:t>
      </w:r>
      <w:r>
        <w:rPr>
          <w:rFonts w:ascii="Garamond" w:hAnsi="Garamond"/>
          <w:color w:val="000000" w:themeColor="text1"/>
        </w:rPr>
        <w:t>cause</w:t>
      </w:r>
      <w:r w:rsidRPr="001B1C7A">
        <w:rPr>
          <w:rFonts w:ascii="Garamond" w:hAnsi="Garamond"/>
          <w:color w:val="000000" w:themeColor="text1"/>
        </w:rPr>
        <w:t xml:space="preserve"> another war, similar to the how the Scramble for Africa ratcheted up tensions between Germany, England and France before World War I. Second, Buckler reminds the American Commission to Negotiate Peace </w:t>
      </w:r>
      <w:r w:rsidRPr="001B1C7A">
        <w:rPr>
          <w:rFonts w:ascii="Garamond" w:hAnsi="Garamond"/>
          <w:color w:val="000000" w:themeColor="text1"/>
        </w:rPr>
        <w:lastRenderedPageBreak/>
        <w:t>that, in the absence of U.S. involvement, his first prophecy will occur. Buckler then invokes Yale: “If the United States takes not part, or an apathetic part, in the settlement of the Near East, its material interests must suffer incalculably</w:t>
      </w:r>
      <w:r w:rsidR="00B37772">
        <w:rPr>
          <w:rFonts w:ascii="Garamond" w:hAnsi="Garamond"/>
          <w:color w:val="000000" w:themeColor="text1"/>
        </w:rPr>
        <w:t xml:space="preserve">… </w:t>
      </w:r>
      <w:r w:rsidRPr="001B1C7A">
        <w:rPr>
          <w:rFonts w:ascii="Garamond" w:hAnsi="Garamond"/>
          <w:color w:val="000000" w:themeColor="text1"/>
        </w:rPr>
        <w:t xml:space="preserve">The only way to maintain in Turkey our traditional policy of the </w:t>
      </w:r>
      <w:r>
        <w:rPr>
          <w:rFonts w:ascii="Garamond" w:hAnsi="Garamond"/>
          <w:color w:val="000000" w:themeColor="text1"/>
        </w:rPr>
        <w:t>‘</w:t>
      </w:r>
      <w:r w:rsidR="00C6532D">
        <w:rPr>
          <w:rFonts w:ascii="Garamond" w:hAnsi="Garamond"/>
          <w:color w:val="000000" w:themeColor="text1"/>
        </w:rPr>
        <w:t>Open Door</w:t>
      </w:r>
      <w:r>
        <w:rPr>
          <w:rFonts w:ascii="Garamond" w:hAnsi="Garamond"/>
          <w:color w:val="000000" w:themeColor="text1"/>
        </w:rPr>
        <w:t>’</w:t>
      </w:r>
      <w:r w:rsidRPr="001B1C7A">
        <w:rPr>
          <w:rFonts w:ascii="Garamond" w:hAnsi="Garamond"/>
          <w:color w:val="000000" w:themeColor="text1"/>
        </w:rPr>
        <w:t xml:space="preserve"> is to be on the spot and </w:t>
      </w:r>
      <w:r w:rsidRPr="001B1C7A">
        <w:rPr>
          <w:rFonts w:ascii="Garamond" w:hAnsi="Garamond"/>
          <w:color w:val="000000" w:themeColor="text1"/>
          <w:u w:val="single"/>
        </w:rPr>
        <w:t>hold</w:t>
      </w:r>
      <w:r w:rsidRPr="001B1C7A">
        <w:rPr>
          <w:rFonts w:ascii="Garamond" w:hAnsi="Garamond"/>
          <w:color w:val="000000" w:themeColor="text1"/>
        </w:rPr>
        <w:t xml:space="preserve"> the door open.”</w:t>
      </w:r>
      <w:r w:rsidRPr="001B1C7A">
        <w:rPr>
          <w:rStyle w:val="FootnoteReference"/>
          <w:rFonts w:ascii="Garamond" w:hAnsi="Garamond"/>
          <w:color w:val="000000" w:themeColor="text1"/>
        </w:rPr>
        <w:footnoteReference w:id="225"/>
      </w:r>
      <w:r w:rsidRPr="001B1C7A">
        <w:rPr>
          <w:rFonts w:ascii="Garamond" w:hAnsi="Garamond"/>
          <w:color w:val="000000" w:themeColor="text1"/>
        </w:rPr>
        <w:t xml:space="preserve"> </w:t>
      </w:r>
    </w:p>
    <w:p w14:paraId="670AE8E3" w14:textId="7B5B84C9"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Yale’s report rubbed off on Buckler. Buckler not only argues for the application of the </w:t>
      </w:r>
      <w:r w:rsidR="00C6532D">
        <w:rPr>
          <w:rFonts w:ascii="Garamond" w:hAnsi="Garamond"/>
          <w:color w:val="000000" w:themeColor="text1"/>
        </w:rPr>
        <w:t>Open Door</w:t>
      </w:r>
      <w:r w:rsidRPr="001B1C7A">
        <w:rPr>
          <w:rFonts w:ascii="Garamond" w:hAnsi="Garamond"/>
          <w:color w:val="000000" w:themeColor="text1"/>
        </w:rPr>
        <w:t xml:space="preserve">, but for an active U.S. role in the </w:t>
      </w:r>
      <w:r w:rsidR="00C6532D">
        <w:rPr>
          <w:rFonts w:ascii="Garamond" w:hAnsi="Garamond"/>
          <w:color w:val="000000" w:themeColor="text1"/>
        </w:rPr>
        <w:t>Open Door</w:t>
      </w:r>
      <w:r w:rsidRPr="001B1C7A">
        <w:rPr>
          <w:rFonts w:ascii="Garamond" w:hAnsi="Garamond"/>
          <w:color w:val="000000" w:themeColor="text1"/>
        </w:rPr>
        <w:t>’s promotion. This draws directly from Yale’s argument in the conclusion of “The Mesopotamian Oil Question,” where Yale writes “The entire question of fair play in international commercial relations and the policy of the “</w:t>
      </w:r>
      <w:r w:rsidR="00C6532D">
        <w:rPr>
          <w:rFonts w:ascii="Garamond" w:hAnsi="Garamond"/>
          <w:color w:val="000000" w:themeColor="text1"/>
        </w:rPr>
        <w:t>Open Door</w:t>
      </w:r>
      <w:r w:rsidRPr="001B1C7A">
        <w:rPr>
          <w:rFonts w:ascii="Garamond" w:hAnsi="Garamond"/>
          <w:color w:val="000000" w:themeColor="text1"/>
        </w:rPr>
        <w:t>” is threatened by the monopoly of the Mesopotamian oil fields contemplated by Great Britain.”</w:t>
      </w:r>
      <w:r w:rsidRPr="001B1C7A">
        <w:rPr>
          <w:rStyle w:val="FootnoteReference"/>
          <w:rFonts w:ascii="Garamond" w:hAnsi="Garamond"/>
          <w:color w:val="000000" w:themeColor="text1"/>
        </w:rPr>
        <w:footnoteReference w:id="226"/>
      </w:r>
      <w:r w:rsidRPr="001B1C7A">
        <w:rPr>
          <w:rFonts w:ascii="Garamond" w:hAnsi="Garamond"/>
          <w:color w:val="000000" w:themeColor="text1"/>
        </w:rPr>
        <w:t xml:space="preserve"> By the conclusion of this memorandum, Buckler, influenced by Yale</w:t>
      </w:r>
      <w:r w:rsidR="00A25C1F">
        <w:rPr>
          <w:rFonts w:ascii="Garamond" w:hAnsi="Garamond"/>
          <w:color w:val="000000" w:themeColor="text1"/>
        </w:rPr>
        <w:t>’s national security and commercial considerations</w:t>
      </w:r>
      <w:r w:rsidRPr="001B1C7A">
        <w:rPr>
          <w:rFonts w:ascii="Garamond" w:hAnsi="Garamond"/>
          <w:color w:val="000000" w:themeColor="text1"/>
        </w:rPr>
        <w:t>, presented a</w:t>
      </w:r>
      <w:r w:rsidR="006B429F">
        <w:rPr>
          <w:rFonts w:ascii="Garamond" w:hAnsi="Garamond"/>
          <w:color w:val="000000" w:themeColor="text1"/>
        </w:rPr>
        <w:t xml:space="preserve">n </w:t>
      </w:r>
      <w:r w:rsidRPr="001B1C7A">
        <w:rPr>
          <w:rFonts w:ascii="Garamond" w:hAnsi="Garamond"/>
          <w:color w:val="000000" w:themeColor="text1"/>
        </w:rPr>
        <w:t>argument fo</w:t>
      </w:r>
      <w:r w:rsidR="006B429F">
        <w:rPr>
          <w:rFonts w:ascii="Garamond" w:hAnsi="Garamond"/>
          <w:color w:val="000000" w:themeColor="text1"/>
        </w:rPr>
        <w:t>r</w:t>
      </w:r>
      <w:r w:rsidRPr="001B1C7A">
        <w:rPr>
          <w:rFonts w:ascii="Garamond" w:hAnsi="Garamond"/>
          <w:color w:val="000000" w:themeColor="text1"/>
        </w:rPr>
        <w:t xml:space="preserve"> the </w:t>
      </w:r>
      <w:r w:rsidR="00C6532D">
        <w:rPr>
          <w:rFonts w:ascii="Garamond" w:hAnsi="Garamond"/>
          <w:color w:val="000000" w:themeColor="text1"/>
        </w:rPr>
        <w:t>Open Door</w:t>
      </w:r>
      <w:r w:rsidRPr="001B1C7A">
        <w:rPr>
          <w:rFonts w:ascii="Garamond" w:hAnsi="Garamond"/>
          <w:color w:val="000000" w:themeColor="text1"/>
        </w:rPr>
        <w:t xml:space="preserve">. </w:t>
      </w:r>
    </w:p>
    <w:p w14:paraId="28954088" w14:textId="23EEB49C" w:rsidR="0030323A" w:rsidRPr="001B1C7A"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Buckler wrapped up his memorandum by outlining his vision for how a definite Open</w:t>
      </w:r>
      <w:r w:rsidR="00A25C1F">
        <w:rPr>
          <w:rFonts w:ascii="Garamond" w:hAnsi="Garamond"/>
          <w:color w:val="000000" w:themeColor="text1"/>
        </w:rPr>
        <w:t xml:space="preserve"> </w:t>
      </w:r>
      <w:r w:rsidRPr="001B1C7A">
        <w:rPr>
          <w:rFonts w:ascii="Garamond" w:hAnsi="Garamond"/>
          <w:color w:val="000000" w:themeColor="text1"/>
        </w:rPr>
        <w:t>Door policy towards Turkey would take shape. First, he states “such a treaty cannot be effectively made without the support and approval of Congress, hence our policy as to this treaty should be frame and the negotiations should be carried out in close co-operation with the Senate.”</w:t>
      </w:r>
      <w:r w:rsidRPr="001B1C7A">
        <w:rPr>
          <w:rStyle w:val="FootnoteReference"/>
          <w:rFonts w:ascii="Garamond" w:hAnsi="Garamond"/>
          <w:color w:val="000000" w:themeColor="text1"/>
        </w:rPr>
        <w:footnoteReference w:id="227"/>
      </w:r>
      <w:r w:rsidR="00B37772">
        <w:rPr>
          <w:rFonts w:ascii="Garamond" w:hAnsi="Garamond"/>
          <w:color w:val="000000" w:themeColor="text1"/>
        </w:rPr>
        <w:t xml:space="preserve"> Yale’s ideas now had potential to rise to the Senate.</w:t>
      </w:r>
      <w:r w:rsidRPr="001B1C7A">
        <w:rPr>
          <w:rFonts w:ascii="Garamond" w:hAnsi="Garamond"/>
          <w:color w:val="000000" w:themeColor="text1"/>
        </w:rPr>
        <w:t xml:space="preserve"> Second, Buckler asks “Would it not be possible for the Secretary of State to draft a program of American policy … to submit this to the Senate Committee on Foreign Relations.”</w:t>
      </w:r>
      <w:r w:rsidRPr="001B1C7A">
        <w:rPr>
          <w:rStyle w:val="FootnoteReference"/>
          <w:rFonts w:ascii="Garamond" w:hAnsi="Garamond"/>
          <w:color w:val="000000" w:themeColor="text1"/>
        </w:rPr>
        <w:footnoteReference w:id="228"/>
      </w:r>
      <w:r w:rsidRPr="001B1C7A">
        <w:rPr>
          <w:rFonts w:ascii="Garamond" w:hAnsi="Garamond"/>
          <w:color w:val="000000" w:themeColor="text1"/>
        </w:rPr>
        <w:t xml:space="preserve"> Again, Buckler asks for his ideas, taken from Yale’s report, to go to the highest legislative and executive levels of U.S. foreign policymaking. In six months, Yale went from</w:t>
      </w:r>
      <w:r w:rsidR="00A16282">
        <w:rPr>
          <w:rFonts w:ascii="Garamond" w:hAnsi="Garamond"/>
          <w:color w:val="000000" w:themeColor="text1"/>
        </w:rPr>
        <w:t xml:space="preserve"> </w:t>
      </w:r>
      <w:r w:rsidRPr="001B1C7A">
        <w:rPr>
          <w:rFonts w:ascii="Garamond" w:hAnsi="Garamond"/>
          <w:color w:val="000000" w:themeColor="text1"/>
        </w:rPr>
        <w:t xml:space="preserve">the annals of Westermann’s office to arguing for ideas that </w:t>
      </w:r>
      <w:r w:rsidR="00A25C1F">
        <w:rPr>
          <w:rFonts w:ascii="Garamond" w:hAnsi="Garamond"/>
          <w:color w:val="000000" w:themeColor="text1"/>
        </w:rPr>
        <w:t>could</w:t>
      </w:r>
      <w:r w:rsidR="00A25C1F" w:rsidRPr="001B1C7A">
        <w:rPr>
          <w:rFonts w:ascii="Garamond" w:hAnsi="Garamond"/>
          <w:color w:val="000000" w:themeColor="text1"/>
        </w:rPr>
        <w:t xml:space="preserve"> </w:t>
      </w:r>
      <w:r w:rsidRPr="001B1C7A">
        <w:rPr>
          <w:rFonts w:ascii="Garamond" w:hAnsi="Garamond"/>
          <w:color w:val="000000" w:themeColor="text1"/>
        </w:rPr>
        <w:t xml:space="preserve">reach the Senate Foreign Relations Committee and the Secretary of State. </w:t>
      </w:r>
    </w:p>
    <w:p w14:paraId="00D962BF" w14:textId="77777777" w:rsidR="0030323A" w:rsidRDefault="0030323A" w:rsidP="0030323A">
      <w:pPr>
        <w:pStyle w:val="Heading3"/>
        <w:numPr>
          <w:ilvl w:val="0"/>
          <w:numId w:val="40"/>
        </w:numPr>
        <w:rPr>
          <w:rFonts w:ascii="Garamond" w:hAnsi="Garamond"/>
          <w:color w:val="000000" w:themeColor="text1"/>
        </w:rPr>
      </w:pPr>
      <w:bookmarkStart w:id="64" w:name="_Toc66731815"/>
      <w:r w:rsidRPr="00D81B8F">
        <w:rPr>
          <w:rFonts w:ascii="Garamond" w:hAnsi="Garamond"/>
          <w:color w:val="000000" w:themeColor="text1"/>
        </w:rPr>
        <w:t>Davis’s Letter</w:t>
      </w:r>
      <w:bookmarkEnd w:id="64"/>
      <w:r w:rsidRPr="00D81B8F">
        <w:rPr>
          <w:rFonts w:ascii="Garamond" w:hAnsi="Garamond"/>
          <w:color w:val="000000" w:themeColor="text1"/>
        </w:rPr>
        <w:t xml:space="preserve"> </w:t>
      </w:r>
    </w:p>
    <w:p w14:paraId="2EADFBD9" w14:textId="77777777" w:rsidR="0030323A" w:rsidRPr="00D81B8F" w:rsidRDefault="0030323A" w:rsidP="0030323A"/>
    <w:p w14:paraId="6A2F5849" w14:textId="17938989" w:rsidR="00F21B78" w:rsidRPr="001B1C7A" w:rsidRDefault="0030323A" w:rsidP="000A556A">
      <w:pPr>
        <w:spacing w:line="480" w:lineRule="auto"/>
        <w:ind w:firstLine="360"/>
        <w:rPr>
          <w:rFonts w:ascii="Garamond" w:hAnsi="Garamond"/>
          <w:color w:val="000000" w:themeColor="text1"/>
        </w:rPr>
      </w:pPr>
      <w:r w:rsidRPr="001B1C7A">
        <w:rPr>
          <w:rFonts w:ascii="Garamond" w:hAnsi="Garamond"/>
          <w:color w:val="000000" w:themeColor="text1"/>
        </w:rPr>
        <w:lastRenderedPageBreak/>
        <w:t xml:space="preserve">Extensive literature has already covered the Anglo – American oil correspondence of 1920 – 21. After another year of continued exclusionary economic practices by the British, on July 26, </w:t>
      </w:r>
      <w:r w:rsidR="004F24FA">
        <w:rPr>
          <w:rFonts w:ascii="Garamond" w:hAnsi="Garamond"/>
          <w:color w:val="000000" w:themeColor="text1"/>
        </w:rPr>
        <w:t>19</w:t>
      </w:r>
      <w:r w:rsidRPr="001B1C7A">
        <w:rPr>
          <w:rFonts w:ascii="Garamond" w:hAnsi="Garamond"/>
          <w:color w:val="000000" w:themeColor="text1"/>
        </w:rPr>
        <w:t>20 Secretary of State Bainbridge Colby tells Ambassador Davis in London to transfer a note to the Foreign Office</w:t>
      </w:r>
      <w:r w:rsidR="00F21B78">
        <w:rPr>
          <w:rFonts w:ascii="Garamond" w:hAnsi="Garamond"/>
          <w:color w:val="000000" w:themeColor="text1"/>
        </w:rPr>
        <w:t xml:space="preserve"> that says:</w:t>
      </w:r>
    </w:p>
    <w:p w14:paraId="0B8465A4" w14:textId="4E66F362" w:rsidR="00F21B78" w:rsidRDefault="0030323A" w:rsidP="00BA2313">
      <w:pPr>
        <w:rPr>
          <w:rFonts w:ascii="Garamond" w:hAnsi="Garamond"/>
          <w:color w:val="000000" w:themeColor="text1"/>
        </w:rPr>
      </w:pPr>
      <w:r w:rsidRPr="001B1C7A">
        <w:rPr>
          <w:rFonts w:ascii="Garamond" w:hAnsi="Garamond"/>
          <w:color w:val="000000" w:themeColor="text1"/>
          <w:shd w:val="clear" w:color="auto" w:fill="FFFFFF"/>
        </w:rPr>
        <w:t>His Majesty’s Government will recall, however, that the Government of the United States is primarily interested in the effective application to these territories of general principles already clearly recognized and adhered to during the peace negotiations at Paris, that such territories should be held and governed in such a way as to assure equal treatment in law and in fact to the commerce of all nations.</w:t>
      </w:r>
      <w:r w:rsidRPr="001B1C7A">
        <w:rPr>
          <w:rStyle w:val="FootnoteReference"/>
          <w:rFonts w:ascii="Garamond" w:hAnsi="Garamond"/>
          <w:color w:val="000000" w:themeColor="text1"/>
        </w:rPr>
        <w:footnoteReference w:id="229"/>
      </w:r>
    </w:p>
    <w:p w14:paraId="25F573C2" w14:textId="77777777" w:rsidR="00F21B78" w:rsidRDefault="00F21B78" w:rsidP="00BA2313">
      <w:pPr>
        <w:rPr>
          <w:rFonts w:ascii="Garamond" w:hAnsi="Garamond"/>
          <w:color w:val="000000" w:themeColor="text1"/>
        </w:rPr>
      </w:pPr>
    </w:p>
    <w:p w14:paraId="0F476344" w14:textId="77777777" w:rsidR="00252C12" w:rsidRPr="001B1C7A" w:rsidRDefault="00252C12" w:rsidP="00BA2313">
      <w:pPr>
        <w:rPr>
          <w:rFonts w:ascii="Garamond" w:hAnsi="Garamond"/>
          <w:color w:val="000000" w:themeColor="text1"/>
        </w:rPr>
      </w:pPr>
    </w:p>
    <w:p w14:paraId="6AD21AF5" w14:textId="5E93DD54" w:rsidR="0030323A" w:rsidRPr="001B1C7A" w:rsidRDefault="00885037" w:rsidP="0030323A">
      <w:pPr>
        <w:spacing w:line="480" w:lineRule="auto"/>
        <w:ind w:firstLine="720"/>
        <w:rPr>
          <w:rFonts w:ascii="Garamond" w:hAnsi="Garamond"/>
          <w:color w:val="000000" w:themeColor="text1"/>
        </w:rPr>
      </w:pPr>
      <w:r>
        <w:rPr>
          <w:rFonts w:ascii="Garamond" w:hAnsi="Garamond"/>
          <w:color w:val="000000" w:themeColor="text1"/>
        </w:rPr>
        <w:t>T</w:t>
      </w:r>
      <w:r w:rsidR="0030323A" w:rsidRPr="001B1C7A">
        <w:rPr>
          <w:rFonts w:ascii="Garamond" w:hAnsi="Garamond"/>
          <w:color w:val="000000" w:themeColor="text1"/>
        </w:rPr>
        <w:t xml:space="preserve">he U.S. </w:t>
      </w:r>
      <w:r>
        <w:rPr>
          <w:rFonts w:ascii="Garamond" w:hAnsi="Garamond"/>
          <w:color w:val="000000" w:themeColor="text1"/>
        </w:rPr>
        <w:t>criticized</w:t>
      </w:r>
      <w:r w:rsidR="0030323A" w:rsidRPr="001B1C7A">
        <w:rPr>
          <w:rFonts w:ascii="Garamond" w:hAnsi="Garamond"/>
          <w:color w:val="000000" w:themeColor="text1"/>
        </w:rPr>
        <w:t xml:space="preserve"> Britain</w:t>
      </w:r>
      <w:r>
        <w:rPr>
          <w:rFonts w:ascii="Garamond" w:hAnsi="Garamond"/>
          <w:color w:val="000000" w:themeColor="text1"/>
        </w:rPr>
        <w:t xml:space="preserve"> </w:t>
      </w:r>
      <w:r w:rsidR="0030323A" w:rsidRPr="001B1C7A">
        <w:rPr>
          <w:rFonts w:ascii="Garamond" w:hAnsi="Garamond"/>
          <w:color w:val="000000" w:themeColor="text1"/>
        </w:rPr>
        <w:t xml:space="preserve">on July 26, </w:t>
      </w:r>
      <w:r w:rsidR="004F24FA">
        <w:rPr>
          <w:rFonts w:ascii="Garamond" w:hAnsi="Garamond"/>
          <w:color w:val="000000" w:themeColor="text1"/>
        </w:rPr>
        <w:t>19</w:t>
      </w:r>
      <w:r w:rsidR="0030323A" w:rsidRPr="001B1C7A">
        <w:rPr>
          <w:rFonts w:ascii="Garamond" w:hAnsi="Garamond"/>
          <w:color w:val="000000" w:themeColor="text1"/>
        </w:rPr>
        <w:t xml:space="preserve">20 and </w:t>
      </w:r>
      <w:r>
        <w:rPr>
          <w:rFonts w:ascii="Garamond" w:hAnsi="Garamond"/>
          <w:color w:val="000000" w:themeColor="text1"/>
        </w:rPr>
        <w:t xml:space="preserve">applied </w:t>
      </w:r>
      <w:r w:rsidR="0030323A" w:rsidRPr="001B1C7A">
        <w:rPr>
          <w:rFonts w:ascii="Garamond" w:hAnsi="Garamond"/>
          <w:color w:val="000000" w:themeColor="text1"/>
        </w:rPr>
        <w:t xml:space="preserve">the </w:t>
      </w:r>
      <w:r w:rsidR="00C6532D">
        <w:rPr>
          <w:rFonts w:ascii="Garamond" w:hAnsi="Garamond"/>
          <w:color w:val="000000" w:themeColor="text1"/>
        </w:rPr>
        <w:t>Open Door</w:t>
      </w:r>
      <w:r>
        <w:rPr>
          <w:rFonts w:ascii="Garamond" w:hAnsi="Garamond"/>
          <w:color w:val="000000" w:themeColor="text1"/>
        </w:rPr>
        <w:t xml:space="preserve"> to the Middle East. </w:t>
      </w:r>
    </w:p>
    <w:p w14:paraId="196123F7" w14:textId="5FF022CB" w:rsidR="0030323A" w:rsidRDefault="0095502B" w:rsidP="0095502B">
      <w:pPr>
        <w:pStyle w:val="Heading1"/>
        <w:rPr>
          <w:rFonts w:ascii="Garamond" w:hAnsi="Garamond"/>
          <w:color w:val="000000" w:themeColor="text1"/>
        </w:rPr>
      </w:pPr>
      <w:bookmarkStart w:id="65" w:name="_Toc66731816"/>
      <w:r>
        <w:rPr>
          <w:rFonts w:ascii="Garamond" w:hAnsi="Garamond"/>
          <w:color w:val="000000" w:themeColor="text1"/>
        </w:rPr>
        <w:t xml:space="preserve">VI. </w:t>
      </w:r>
      <w:r w:rsidR="0030323A" w:rsidRPr="007950F0">
        <w:rPr>
          <w:rFonts w:ascii="Garamond" w:hAnsi="Garamond"/>
          <w:color w:val="000000" w:themeColor="text1"/>
        </w:rPr>
        <w:t>Analysis</w:t>
      </w:r>
      <w:bookmarkEnd w:id="65"/>
      <w:r w:rsidR="0030323A" w:rsidRPr="007950F0">
        <w:rPr>
          <w:rFonts w:ascii="Garamond" w:hAnsi="Garamond"/>
          <w:color w:val="000000" w:themeColor="text1"/>
        </w:rPr>
        <w:t xml:space="preserve"> </w:t>
      </w:r>
    </w:p>
    <w:p w14:paraId="3EAD710E" w14:textId="77777777" w:rsidR="0030323A" w:rsidRPr="007950F0" w:rsidRDefault="0030323A" w:rsidP="0030323A">
      <w:pPr>
        <w:rPr>
          <w:lang w:bidi="en-US"/>
        </w:rPr>
      </w:pPr>
    </w:p>
    <w:p w14:paraId="375BED55" w14:textId="5324CB74" w:rsidR="0030323A" w:rsidRPr="001B1C7A" w:rsidRDefault="0030323A" w:rsidP="0030323A">
      <w:pPr>
        <w:spacing w:line="480" w:lineRule="auto"/>
        <w:rPr>
          <w:rFonts w:ascii="Garamond" w:hAnsi="Garamond"/>
          <w:color w:val="000000" w:themeColor="text1"/>
        </w:rPr>
      </w:pPr>
      <w:r w:rsidRPr="001B1C7A">
        <w:rPr>
          <w:rFonts w:ascii="Garamond" w:hAnsi="Garamond"/>
          <w:color w:val="000000" w:themeColor="text1"/>
        </w:rPr>
        <w:tab/>
        <w:t xml:space="preserve"> As postulated in the introduction, the </w:t>
      </w:r>
      <w:r w:rsidR="00C6532D">
        <w:rPr>
          <w:rFonts w:ascii="Garamond" w:hAnsi="Garamond"/>
          <w:color w:val="000000" w:themeColor="text1"/>
        </w:rPr>
        <w:t>K.C.C.</w:t>
      </w:r>
      <w:r w:rsidRPr="001B1C7A">
        <w:rPr>
          <w:rFonts w:ascii="Garamond" w:hAnsi="Garamond"/>
          <w:color w:val="000000" w:themeColor="text1"/>
        </w:rPr>
        <w:t xml:space="preserve"> provided the U.S. with a unique window into the Middle East at a time of intense competition over oil. SOCONY did not want to owe the U.S. government any favors, and also was reluctant to accept government oversight; however, it needed a fair hand when playing the oil game against </w:t>
      </w:r>
      <w:r w:rsidR="00AE5CB7">
        <w:rPr>
          <w:rFonts w:ascii="Garamond" w:hAnsi="Garamond"/>
          <w:color w:val="000000" w:themeColor="text1"/>
        </w:rPr>
        <w:t xml:space="preserve">European – backed </w:t>
      </w:r>
      <w:r w:rsidRPr="001B1C7A">
        <w:rPr>
          <w:rFonts w:ascii="Garamond" w:hAnsi="Garamond"/>
          <w:color w:val="000000" w:themeColor="text1"/>
        </w:rPr>
        <w:t>Anglo – Persian and Royal Dutch</w:t>
      </w:r>
      <w:r w:rsidR="00AE5CB7">
        <w:rPr>
          <w:rFonts w:ascii="Garamond" w:hAnsi="Garamond"/>
          <w:color w:val="000000" w:themeColor="text1"/>
        </w:rPr>
        <w:t xml:space="preserve"> Shell. </w:t>
      </w:r>
      <w:r w:rsidRPr="001B1C7A">
        <w:rPr>
          <w:rFonts w:ascii="Garamond" w:hAnsi="Garamond"/>
          <w:color w:val="000000" w:themeColor="text1"/>
        </w:rPr>
        <w:t xml:space="preserve">Therefore, SOCONY, through Thomas, attempted to </w:t>
      </w:r>
      <w:r w:rsidR="00181520">
        <w:rPr>
          <w:rFonts w:ascii="Garamond" w:hAnsi="Garamond"/>
          <w:color w:val="000000" w:themeColor="text1"/>
        </w:rPr>
        <w:t>discreetly influence</w:t>
      </w:r>
      <w:r w:rsidRPr="001B1C7A">
        <w:rPr>
          <w:rFonts w:ascii="Garamond" w:hAnsi="Garamond"/>
          <w:color w:val="000000" w:themeColor="text1"/>
        </w:rPr>
        <w:t xml:space="preserve"> both non – traditional and traditional avenues of U.S. policy, playing on Yale the entire time. </w:t>
      </w:r>
    </w:p>
    <w:p w14:paraId="5CACB257" w14:textId="647B4721" w:rsidR="0030323A" w:rsidRPr="001B1C7A" w:rsidRDefault="0030323A" w:rsidP="0030323A">
      <w:pPr>
        <w:spacing w:line="480" w:lineRule="auto"/>
        <w:rPr>
          <w:rFonts w:ascii="Garamond" w:hAnsi="Garamond"/>
          <w:color w:val="000000" w:themeColor="text1"/>
        </w:rPr>
      </w:pPr>
      <w:r w:rsidRPr="001B1C7A">
        <w:rPr>
          <w:rFonts w:ascii="Garamond" w:hAnsi="Garamond"/>
          <w:color w:val="000000" w:themeColor="text1"/>
        </w:rPr>
        <w:tab/>
        <w:t xml:space="preserve">Thomas saw the </w:t>
      </w:r>
      <w:r w:rsidR="00C6532D">
        <w:rPr>
          <w:rFonts w:ascii="Garamond" w:hAnsi="Garamond"/>
          <w:color w:val="000000" w:themeColor="text1"/>
        </w:rPr>
        <w:t>K.C.C.</w:t>
      </w:r>
      <w:r w:rsidRPr="001B1C7A">
        <w:rPr>
          <w:rFonts w:ascii="Garamond" w:hAnsi="Garamond"/>
          <w:color w:val="000000" w:themeColor="text1"/>
        </w:rPr>
        <w:t xml:space="preserve"> as an important nontraditional avenue of influence. The Commissioners were not explicitly Washington</w:t>
      </w:r>
      <w:r w:rsidR="00F21B78">
        <w:rPr>
          <w:rFonts w:ascii="Garamond" w:hAnsi="Garamond"/>
          <w:color w:val="000000" w:themeColor="text1"/>
        </w:rPr>
        <w:t>ian</w:t>
      </w:r>
      <w:r w:rsidRPr="001B1C7A">
        <w:rPr>
          <w:rFonts w:ascii="Garamond" w:hAnsi="Garamond"/>
          <w:color w:val="000000" w:themeColor="text1"/>
        </w:rPr>
        <w:t xml:space="preserve"> bureaucrats</w:t>
      </w:r>
      <w:r w:rsidR="00A25C1F">
        <w:rPr>
          <w:rFonts w:ascii="Garamond" w:hAnsi="Garamond"/>
          <w:color w:val="000000" w:themeColor="text1"/>
        </w:rPr>
        <w:t>;</w:t>
      </w:r>
      <w:r w:rsidRPr="001B1C7A">
        <w:rPr>
          <w:rFonts w:ascii="Garamond" w:hAnsi="Garamond"/>
          <w:color w:val="000000" w:themeColor="text1"/>
        </w:rPr>
        <w:t xml:space="preserve"> they were advisors who had Wilson’s ear. Thomas played on Yale’s previous oil expertise by showing Yale maps before he left and keeping Yale up to date on Standard Oil’s activities. </w:t>
      </w:r>
      <w:r w:rsidR="00974DEA">
        <w:rPr>
          <w:rFonts w:ascii="Garamond" w:hAnsi="Garamond"/>
          <w:color w:val="000000" w:themeColor="text1"/>
        </w:rPr>
        <w:t>W</w:t>
      </w:r>
      <w:r w:rsidRPr="001B1C7A">
        <w:rPr>
          <w:rFonts w:ascii="Garamond" w:hAnsi="Garamond"/>
          <w:color w:val="000000" w:themeColor="text1"/>
        </w:rPr>
        <w:t xml:space="preserve">hile on the </w:t>
      </w:r>
      <w:r w:rsidR="00C6532D">
        <w:rPr>
          <w:rFonts w:ascii="Garamond" w:hAnsi="Garamond"/>
          <w:color w:val="000000" w:themeColor="text1"/>
        </w:rPr>
        <w:t>K.C.C.</w:t>
      </w:r>
      <w:r w:rsidRPr="001B1C7A">
        <w:rPr>
          <w:rFonts w:ascii="Garamond" w:hAnsi="Garamond"/>
          <w:color w:val="000000" w:themeColor="text1"/>
        </w:rPr>
        <w:t xml:space="preserve">, Yale </w:t>
      </w:r>
      <w:r w:rsidR="00974DEA">
        <w:rPr>
          <w:rFonts w:ascii="Garamond" w:hAnsi="Garamond"/>
          <w:color w:val="000000" w:themeColor="text1"/>
        </w:rPr>
        <w:t xml:space="preserve">did not </w:t>
      </w:r>
      <w:r w:rsidRPr="001B1C7A">
        <w:rPr>
          <w:rFonts w:ascii="Garamond" w:hAnsi="Garamond"/>
          <w:color w:val="000000" w:themeColor="text1"/>
        </w:rPr>
        <w:t xml:space="preserve">purposefully </w:t>
      </w:r>
      <w:r w:rsidR="00974DEA">
        <w:rPr>
          <w:rFonts w:ascii="Garamond" w:hAnsi="Garamond"/>
          <w:color w:val="000000" w:themeColor="text1"/>
        </w:rPr>
        <w:t>strive</w:t>
      </w:r>
      <w:r w:rsidRPr="001B1C7A">
        <w:rPr>
          <w:rFonts w:ascii="Garamond" w:hAnsi="Garamond"/>
          <w:color w:val="000000" w:themeColor="text1"/>
        </w:rPr>
        <w:t xml:space="preserve"> to advance oil interests; </w:t>
      </w:r>
      <w:r w:rsidR="00441799">
        <w:rPr>
          <w:rFonts w:ascii="Garamond" w:hAnsi="Garamond"/>
          <w:color w:val="000000" w:themeColor="text1"/>
        </w:rPr>
        <w:t>instead</w:t>
      </w:r>
      <w:r w:rsidRPr="001B1C7A">
        <w:rPr>
          <w:rFonts w:ascii="Garamond" w:hAnsi="Garamond"/>
          <w:color w:val="000000" w:themeColor="text1"/>
        </w:rPr>
        <w:t xml:space="preserve">, Yale’s time on the </w:t>
      </w:r>
      <w:r w:rsidR="00C6532D">
        <w:rPr>
          <w:rFonts w:ascii="Garamond" w:hAnsi="Garamond"/>
          <w:color w:val="000000" w:themeColor="text1"/>
        </w:rPr>
        <w:t>K.C.C.</w:t>
      </w:r>
      <w:r w:rsidRPr="001B1C7A">
        <w:rPr>
          <w:rFonts w:ascii="Garamond" w:hAnsi="Garamond"/>
          <w:color w:val="000000" w:themeColor="text1"/>
        </w:rPr>
        <w:t xml:space="preserve"> established himself as a significant oil thinker</w:t>
      </w:r>
      <w:r w:rsidR="00A25C1F">
        <w:rPr>
          <w:rFonts w:ascii="Garamond" w:hAnsi="Garamond"/>
          <w:color w:val="000000" w:themeColor="text1"/>
        </w:rPr>
        <w:t xml:space="preserve">. Yale advocated for an Open Door because he believed oil to be the “creation of power” </w:t>
      </w:r>
      <w:r w:rsidR="00A25C1F">
        <w:rPr>
          <w:rFonts w:ascii="Garamond" w:hAnsi="Garamond"/>
          <w:color w:val="000000" w:themeColor="text1"/>
        </w:rPr>
        <w:lastRenderedPageBreak/>
        <w:t>for the United States.</w:t>
      </w:r>
      <w:r w:rsidR="00210A9C">
        <w:rPr>
          <w:rStyle w:val="FootnoteReference"/>
          <w:rFonts w:ascii="Garamond" w:hAnsi="Garamond"/>
          <w:color w:val="000000" w:themeColor="text1"/>
        </w:rPr>
        <w:footnoteReference w:id="230"/>
      </w:r>
      <w:r w:rsidR="00A25C1F">
        <w:rPr>
          <w:rFonts w:ascii="Garamond" w:hAnsi="Garamond"/>
          <w:color w:val="000000" w:themeColor="text1"/>
        </w:rPr>
        <w:t xml:space="preserve"> Thomas’s lobbying may have kept Yale refreshed on British exclusionary practices, but Yale’s final arguments were based </w:t>
      </w:r>
      <w:r w:rsidR="001701ED">
        <w:rPr>
          <w:rFonts w:ascii="Garamond" w:hAnsi="Garamond"/>
          <w:color w:val="000000" w:themeColor="text1"/>
        </w:rPr>
        <w:t>upon his own, national security inclinations</w:t>
      </w:r>
      <w:r w:rsidR="00A25C1F">
        <w:rPr>
          <w:rFonts w:ascii="Garamond" w:hAnsi="Garamond"/>
          <w:color w:val="000000" w:themeColor="text1"/>
        </w:rPr>
        <w:t>.</w:t>
      </w:r>
    </w:p>
    <w:p w14:paraId="684292FD" w14:textId="4200A920" w:rsidR="0030323A" w:rsidRPr="008E04B4" w:rsidRDefault="0030323A" w:rsidP="0030323A">
      <w:pPr>
        <w:spacing w:line="480" w:lineRule="auto"/>
        <w:ind w:firstLine="360"/>
        <w:rPr>
          <w:rFonts w:ascii="Garamond" w:hAnsi="Garamond"/>
          <w:color w:val="000000" w:themeColor="text1"/>
        </w:rPr>
      </w:pPr>
      <w:r w:rsidRPr="001B1C7A">
        <w:rPr>
          <w:rFonts w:ascii="Garamond" w:hAnsi="Garamond"/>
          <w:color w:val="000000" w:themeColor="text1"/>
        </w:rPr>
        <w:t xml:space="preserve">Thomas, </w:t>
      </w:r>
      <w:r w:rsidR="00307AA1">
        <w:rPr>
          <w:rFonts w:ascii="Garamond" w:hAnsi="Garamond"/>
          <w:color w:val="000000" w:themeColor="text1"/>
        </w:rPr>
        <w:t>through Bristol</w:t>
      </w:r>
      <w:r w:rsidRPr="001B1C7A">
        <w:rPr>
          <w:rFonts w:ascii="Garamond" w:hAnsi="Garamond"/>
          <w:color w:val="000000" w:themeColor="text1"/>
        </w:rPr>
        <w:t xml:space="preserve">, may have </w:t>
      </w:r>
      <w:r w:rsidR="00A25C1F">
        <w:rPr>
          <w:rFonts w:ascii="Garamond" w:hAnsi="Garamond"/>
          <w:color w:val="000000" w:themeColor="text1"/>
        </w:rPr>
        <w:t xml:space="preserve">also </w:t>
      </w:r>
      <w:r w:rsidRPr="001B1C7A">
        <w:rPr>
          <w:rFonts w:ascii="Garamond" w:hAnsi="Garamond"/>
          <w:color w:val="000000" w:themeColor="text1"/>
        </w:rPr>
        <w:t xml:space="preserve">influenced the </w:t>
      </w:r>
      <w:r w:rsidR="00C6532D">
        <w:rPr>
          <w:rFonts w:ascii="Garamond" w:hAnsi="Garamond"/>
          <w:color w:val="000000" w:themeColor="text1"/>
        </w:rPr>
        <w:t>K.C.C.</w:t>
      </w:r>
      <w:r w:rsidRPr="001B1C7A">
        <w:rPr>
          <w:rFonts w:ascii="Garamond" w:hAnsi="Garamond"/>
          <w:color w:val="000000" w:themeColor="text1"/>
        </w:rPr>
        <w:t xml:space="preserve"> into including a rebuke of British Activities in the Mesopotamia section of the report. That also may have been Yale – if so, it was Thomas’s and Westermann’s influence that ensured Yale occupied that position. The significance of the </w:t>
      </w:r>
      <w:r w:rsidR="00C6532D">
        <w:rPr>
          <w:rFonts w:ascii="Garamond" w:hAnsi="Garamond"/>
          <w:color w:val="000000" w:themeColor="text1"/>
        </w:rPr>
        <w:t>K.C.C.</w:t>
      </w:r>
      <w:r w:rsidRPr="001B1C7A">
        <w:rPr>
          <w:rFonts w:ascii="Garamond" w:hAnsi="Garamond"/>
          <w:color w:val="000000" w:themeColor="text1"/>
        </w:rPr>
        <w:t xml:space="preserve"> in U.S. oil policy, however, arrives through how the </w:t>
      </w:r>
      <w:r w:rsidR="00C6532D">
        <w:rPr>
          <w:rFonts w:ascii="Garamond" w:hAnsi="Garamond"/>
          <w:color w:val="000000" w:themeColor="text1"/>
        </w:rPr>
        <w:t>K.C.C.</w:t>
      </w:r>
      <w:r w:rsidRPr="001B1C7A">
        <w:rPr>
          <w:rFonts w:ascii="Garamond" w:hAnsi="Garamond"/>
          <w:color w:val="000000" w:themeColor="text1"/>
        </w:rPr>
        <w:t xml:space="preserve"> elevated Yale in the eyes of U.S. policymakers.</w:t>
      </w:r>
      <w:r w:rsidRPr="001B1C7A">
        <w:rPr>
          <w:rStyle w:val="FootnoteReference"/>
          <w:rFonts w:ascii="Garamond" w:hAnsi="Garamond"/>
          <w:color w:val="000000" w:themeColor="text1"/>
        </w:rPr>
        <w:footnoteReference w:id="231"/>
      </w:r>
      <w:r w:rsidRPr="001B1C7A">
        <w:rPr>
          <w:rFonts w:ascii="Garamond" w:hAnsi="Garamond"/>
          <w:color w:val="000000" w:themeColor="text1"/>
        </w:rPr>
        <w:t xml:space="preserve"> Yale’s oil expertise and Thomas’s maneuvering paid off o</w:t>
      </w:r>
      <w:r w:rsidR="0076088B">
        <w:rPr>
          <w:rFonts w:ascii="Garamond" w:hAnsi="Garamond"/>
          <w:color w:val="000000" w:themeColor="text1"/>
        </w:rPr>
        <w:t>n</w:t>
      </w:r>
      <w:r w:rsidRPr="001B1C7A">
        <w:rPr>
          <w:rFonts w:ascii="Garamond" w:hAnsi="Garamond"/>
          <w:color w:val="000000" w:themeColor="text1"/>
        </w:rPr>
        <w:t xml:space="preserve"> June 5, when the American Commission to Negotiate Peace </w:t>
      </w:r>
      <w:r w:rsidR="00924943">
        <w:rPr>
          <w:rFonts w:ascii="Garamond" w:hAnsi="Garamond"/>
          <w:color w:val="000000" w:themeColor="text1"/>
        </w:rPr>
        <w:t>noted</w:t>
      </w:r>
      <w:r w:rsidRPr="001B1C7A">
        <w:rPr>
          <w:rFonts w:ascii="Garamond" w:hAnsi="Garamond"/>
          <w:color w:val="000000" w:themeColor="text1"/>
        </w:rPr>
        <w:t xml:space="preserve"> that Yale could provide the U.S. with intelligence concerning </w:t>
      </w:r>
      <w:r w:rsidR="00307AA1">
        <w:rPr>
          <w:rFonts w:ascii="Garamond" w:hAnsi="Garamond"/>
          <w:color w:val="000000" w:themeColor="text1"/>
        </w:rPr>
        <w:t>British</w:t>
      </w:r>
      <w:r w:rsidRPr="001B1C7A">
        <w:rPr>
          <w:rFonts w:ascii="Garamond" w:hAnsi="Garamond"/>
          <w:color w:val="000000" w:themeColor="text1"/>
        </w:rPr>
        <w:t xml:space="preserve"> activity in the Levant. This verifies the claim in the introduction that the </w:t>
      </w:r>
      <w:r w:rsidR="00C6532D">
        <w:rPr>
          <w:rFonts w:ascii="Garamond" w:hAnsi="Garamond"/>
          <w:color w:val="000000" w:themeColor="text1"/>
        </w:rPr>
        <w:t>K.C.C.</w:t>
      </w:r>
      <w:r w:rsidRPr="001B1C7A">
        <w:rPr>
          <w:rFonts w:ascii="Garamond" w:hAnsi="Garamond"/>
          <w:color w:val="000000" w:themeColor="text1"/>
        </w:rPr>
        <w:t xml:space="preserve"> provided U.S. policymakers with a unique lens into the Middle East</w:t>
      </w:r>
      <w:r w:rsidR="00307AA1">
        <w:rPr>
          <w:rFonts w:ascii="Garamond" w:hAnsi="Garamond"/>
          <w:color w:val="000000" w:themeColor="text1"/>
        </w:rPr>
        <w:t xml:space="preserve"> and</w:t>
      </w:r>
      <w:r w:rsidR="00210A9C" w:rsidRPr="008E04B4">
        <w:rPr>
          <w:rFonts w:ascii="Garamond" w:hAnsi="Garamond"/>
          <w:color w:val="000000" w:themeColor="text1"/>
        </w:rPr>
        <w:t xml:space="preserve"> </w:t>
      </w:r>
      <w:r w:rsidR="00307AA1">
        <w:rPr>
          <w:rFonts w:ascii="Garamond" w:hAnsi="Garamond"/>
          <w:color w:val="000000" w:themeColor="text1"/>
        </w:rPr>
        <w:t xml:space="preserve">the role Thomas played in elevating </w:t>
      </w:r>
      <w:r w:rsidR="00210A9C" w:rsidRPr="008E04B4">
        <w:rPr>
          <w:rFonts w:ascii="Garamond" w:hAnsi="Garamond"/>
          <w:color w:val="000000" w:themeColor="text1"/>
        </w:rPr>
        <w:t>Yale</w:t>
      </w:r>
      <w:r w:rsidR="00307AA1">
        <w:rPr>
          <w:rFonts w:ascii="Garamond" w:hAnsi="Garamond"/>
          <w:color w:val="000000" w:themeColor="text1"/>
        </w:rPr>
        <w:t xml:space="preserve"> </w:t>
      </w:r>
      <w:r w:rsidR="00210A9C" w:rsidRPr="008E04B4">
        <w:rPr>
          <w:rFonts w:ascii="Garamond" w:hAnsi="Garamond"/>
          <w:color w:val="000000" w:themeColor="text1"/>
        </w:rPr>
        <w:t xml:space="preserve">in the eyes of U.S. policymakers. Thomas did not want to owe too much to the U.S. </w:t>
      </w:r>
      <w:r w:rsidR="00FE0D60" w:rsidRPr="008E04B4">
        <w:rPr>
          <w:rFonts w:ascii="Garamond" w:hAnsi="Garamond"/>
          <w:color w:val="000000" w:themeColor="text1"/>
        </w:rPr>
        <w:t>government</w:t>
      </w:r>
      <w:r w:rsidR="00210A9C" w:rsidRPr="008E04B4">
        <w:rPr>
          <w:rFonts w:ascii="Garamond" w:hAnsi="Garamond"/>
          <w:color w:val="000000" w:themeColor="text1"/>
        </w:rPr>
        <w:t xml:space="preserve">, so he </w:t>
      </w:r>
      <w:r w:rsidR="00FE0D60" w:rsidRPr="008E04B4">
        <w:rPr>
          <w:rFonts w:ascii="Garamond" w:hAnsi="Garamond"/>
          <w:color w:val="000000" w:themeColor="text1"/>
        </w:rPr>
        <w:t>relied up</w:t>
      </w:r>
      <w:r w:rsidR="00210A9C" w:rsidRPr="008E04B4">
        <w:rPr>
          <w:rFonts w:ascii="Garamond" w:hAnsi="Garamond"/>
          <w:color w:val="000000" w:themeColor="text1"/>
        </w:rPr>
        <w:t>on Yale</w:t>
      </w:r>
      <w:r w:rsidR="00331CDE">
        <w:rPr>
          <w:rFonts w:ascii="Garamond" w:hAnsi="Garamond"/>
          <w:color w:val="000000" w:themeColor="text1"/>
        </w:rPr>
        <w:t xml:space="preserve">, who made </w:t>
      </w:r>
      <w:r w:rsidR="00685E38">
        <w:rPr>
          <w:rFonts w:ascii="Garamond" w:hAnsi="Garamond"/>
          <w:color w:val="000000" w:themeColor="text1"/>
        </w:rPr>
        <w:t>arguments</w:t>
      </w:r>
      <w:r w:rsidR="00331CDE">
        <w:rPr>
          <w:rFonts w:ascii="Garamond" w:hAnsi="Garamond"/>
          <w:color w:val="000000" w:themeColor="text1"/>
        </w:rPr>
        <w:t xml:space="preserve"> in favor of national security. </w:t>
      </w:r>
    </w:p>
    <w:p w14:paraId="45E9B65D" w14:textId="26883992" w:rsidR="0030323A" w:rsidRPr="001B1C7A" w:rsidRDefault="0030323A" w:rsidP="00733E17">
      <w:pPr>
        <w:spacing w:line="480" w:lineRule="auto"/>
        <w:rPr>
          <w:rFonts w:ascii="Garamond" w:hAnsi="Garamond"/>
          <w:color w:val="000000" w:themeColor="text1"/>
        </w:rPr>
      </w:pPr>
      <w:r w:rsidRPr="008E04B4">
        <w:rPr>
          <w:rFonts w:ascii="Garamond" w:hAnsi="Garamond"/>
          <w:color w:val="000000" w:themeColor="text1"/>
        </w:rPr>
        <w:tab/>
        <w:t xml:space="preserve">Yale could go to London because of the clout he had gained from </w:t>
      </w:r>
      <w:r w:rsidR="00F82AFD">
        <w:rPr>
          <w:rFonts w:ascii="Garamond" w:hAnsi="Garamond"/>
          <w:color w:val="000000" w:themeColor="text1"/>
        </w:rPr>
        <w:t>his position</w:t>
      </w:r>
      <w:r w:rsidRPr="008E04B4">
        <w:rPr>
          <w:rFonts w:ascii="Garamond" w:hAnsi="Garamond"/>
          <w:color w:val="000000" w:themeColor="text1"/>
        </w:rPr>
        <w:t xml:space="preserve"> on the </w:t>
      </w:r>
      <w:r w:rsidR="00C6532D" w:rsidRPr="008E04B4">
        <w:rPr>
          <w:rFonts w:ascii="Garamond" w:hAnsi="Garamond"/>
          <w:color w:val="000000" w:themeColor="text1"/>
        </w:rPr>
        <w:t>K.C.C.</w:t>
      </w:r>
      <w:r w:rsidRPr="008E04B4">
        <w:rPr>
          <w:rFonts w:ascii="Garamond" w:hAnsi="Garamond"/>
          <w:color w:val="000000" w:themeColor="text1"/>
        </w:rPr>
        <w:t xml:space="preserve"> </w:t>
      </w:r>
      <w:r w:rsidRPr="001B1C7A">
        <w:rPr>
          <w:rFonts w:ascii="Garamond" w:hAnsi="Garamond"/>
          <w:color w:val="000000" w:themeColor="text1"/>
        </w:rPr>
        <w:t>“The Position of the Syrian Question Today</w:t>
      </w:r>
      <w:r w:rsidR="00F82AFD">
        <w:rPr>
          <w:rFonts w:ascii="Garamond" w:hAnsi="Garamond"/>
          <w:color w:val="000000" w:themeColor="text1"/>
        </w:rPr>
        <w:t xml:space="preserve">” </w:t>
      </w:r>
      <w:r w:rsidRPr="001B1C7A">
        <w:rPr>
          <w:rFonts w:ascii="Garamond" w:hAnsi="Garamond"/>
          <w:color w:val="000000" w:themeColor="text1"/>
        </w:rPr>
        <w:t xml:space="preserve">is </w:t>
      </w:r>
      <w:r w:rsidR="00F82AFD">
        <w:rPr>
          <w:rFonts w:ascii="Garamond" w:hAnsi="Garamond"/>
          <w:color w:val="000000" w:themeColor="text1"/>
        </w:rPr>
        <w:t>where</w:t>
      </w:r>
      <w:r w:rsidRPr="001B1C7A">
        <w:rPr>
          <w:rFonts w:ascii="Garamond" w:hAnsi="Garamond"/>
          <w:color w:val="000000" w:themeColor="text1"/>
        </w:rPr>
        <w:t xml:space="preserve"> Yale channel</w:t>
      </w:r>
      <w:r w:rsidR="001701ED">
        <w:rPr>
          <w:rFonts w:ascii="Garamond" w:hAnsi="Garamond"/>
          <w:color w:val="000000" w:themeColor="text1"/>
        </w:rPr>
        <w:t>ed</w:t>
      </w:r>
      <w:r w:rsidRPr="001B1C7A">
        <w:rPr>
          <w:rFonts w:ascii="Garamond" w:hAnsi="Garamond"/>
          <w:color w:val="000000" w:themeColor="text1"/>
        </w:rPr>
        <w:t xml:space="preserve"> his ideas of the </w:t>
      </w:r>
      <w:r w:rsidR="00C6532D">
        <w:rPr>
          <w:rFonts w:ascii="Garamond" w:hAnsi="Garamond"/>
          <w:color w:val="000000" w:themeColor="text1"/>
        </w:rPr>
        <w:t>Open Door</w:t>
      </w:r>
      <w:r w:rsidRPr="001B1C7A">
        <w:rPr>
          <w:rFonts w:ascii="Garamond" w:hAnsi="Garamond"/>
          <w:color w:val="000000" w:themeColor="text1"/>
        </w:rPr>
        <w:t xml:space="preserve"> to the highest level of executive and legislative policymakers. </w:t>
      </w:r>
      <w:r w:rsidR="00500895">
        <w:rPr>
          <w:rFonts w:ascii="Garamond" w:hAnsi="Garamond"/>
          <w:color w:val="000000" w:themeColor="text1"/>
        </w:rPr>
        <w:t xml:space="preserve">Some of these ideas, like the Yale Plan, were reminiscent of other national security plans put forth by policymakers, like Josephus Daniels, who were also worried about oil and national security. </w:t>
      </w:r>
      <w:r w:rsidRPr="001B1C7A">
        <w:rPr>
          <w:rFonts w:ascii="Garamond" w:hAnsi="Garamond"/>
          <w:color w:val="000000" w:themeColor="text1"/>
        </w:rPr>
        <w:t xml:space="preserve">This memorandum influenced Buckler’s “Memorandum on the Policy of the U.S. Relative to the Treaty with Turkey,” which called for the aggressive application of the </w:t>
      </w:r>
      <w:r w:rsidR="00C6532D">
        <w:rPr>
          <w:rFonts w:ascii="Garamond" w:hAnsi="Garamond"/>
          <w:color w:val="000000" w:themeColor="text1"/>
        </w:rPr>
        <w:t>Open Door</w:t>
      </w:r>
      <w:r w:rsidRPr="001B1C7A">
        <w:rPr>
          <w:rFonts w:ascii="Garamond" w:hAnsi="Garamond"/>
          <w:color w:val="000000" w:themeColor="text1"/>
        </w:rPr>
        <w:t xml:space="preserve"> to the Middle East. Davis also received Yale’s report. It was not until July 26, 1920, however, th</w:t>
      </w:r>
      <w:r>
        <w:rPr>
          <w:rFonts w:ascii="Garamond" w:hAnsi="Garamond"/>
          <w:color w:val="000000" w:themeColor="text1"/>
        </w:rPr>
        <w:t>at</w:t>
      </w:r>
      <w:r w:rsidRPr="001B1C7A">
        <w:rPr>
          <w:rFonts w:ascii="Garamond" w:hAnsi="Garamond"/>
          <w:color w:val="000000" w:themeColor="text1"/>
        </w:rPr>
        <w:t xml:space="preserve"> Davis passed an official note to the British government that stated the U.S. interest “in equal treatment in law and in fact to the commerce of all nations.” Scholars differ on whether this note, later notes or British economic considerations motivated the </w:t>
      </w:r>
      <w:r w:rsidRPr="001B1C7A">
        <w:rPr>
          <w:rFonts w:ascii="Garamond" w:hAnsi="Garamond"/>
          <w:color w:val="000000" w:themeColor="text1"/>
        </w:rPr>
        <w:lastRenderedPageBreak/>
        <w:t xml:space="preserve">British to accede to the U.S.’s participation in the </w:t>
      </w:r>
      <w:r w:rsidR="00500895">
        <w:rPr>
          <w:rFonts w:ascii="Garamond" w:hAnsi="Garamond"/>
          <w:color w:val="000000" w:themeColor="text1"/>
        </w:rPr>
        <w:t>T.P</w:t>
      </w:r>
      <w:r w:rsidR="00C6532D">
        <w:rPr>
          <w:rFonts w:ascii="Garamond" w:hAnsi="Garamond"/>
          <w:color w:val="000000" w:themeColor="text1"/>
        </w:rPr>
        <w:t>.C.</w:t>
      </w:r>
      <w:r w:rsidR="00500895">
        <w:rPr>
          <w:rFonts w:ascii="Garamond" w:hAnsi="Garamond"/>
          <w:color w:val="000000" w:themeColor="text1"/>
        </w:rPr>
        <w:t xml:space="preserve"> </w:t>
      </w:r>
      <w:r w:rsidR="001701ED">
        <w:rPr>
          <w:rFonts w:ascii="Garamond" w:hAnsi="Garamond"/>
          <w:color w:val="000000" w:themeColor="text1"/>
        </w:rPr>
        <w:t xml:space="preserve">Regardless, </w:t>
      </w:r>
      <w:r w:rsidRPr="001B1C7A">
        <w:rPr>
          <w:rFonts w:ascii="Garamond" w:hAnsi="Garamond"/>
          <w:color w:val="000000" w:themeColor="text1"/>
        </w:rPr>
        <w:t xml:space="preserve">Yale’s reports reached </w:t>
      </w:r>
      <w:r w:rsidR="00F82AFD">
        <w:rPr>
          <w:rFonts w:ascii="Garamond" w:hAnsi="Garamond"/>
          <w:color w:val="000000" w:themeColor="text1"/>
        </w:rPr>
        <w:t xml:space="preserve">high </w:t>
      </w:r>
      <w:r w:rsidRPr="001B1C7A">
        <w:rPr>
          <w:rFonts w:ascii="Garamond" w:hAnsi="Garamond"/>
          <w:color w:val="000000" w:themeColor="text1"/>
        </w:rPr>
        <w:t>levels of U.S. foreign policy</w:t>
      </w:r>
      <w:r w:rsidR="00877E6E">
        <w:rPr>
          <w:rFonts w:ascii="Garamond" w:hAnsi="Garamond"/>
          <w:color w:val="000000" w:themeColor="text1"/>
        </w:rPr>
        <w:t>-</w:t>
      </w:r>
      <w:r w:rsidR="004D06F9">
        <w:rPr>
          <w:rFonts w:ascii="Garamond" w:hAnsi="Garamond"/>
          <w:color w:val="000000" w:themeColor="text1"/>
        </w:rPr>
        <w:t xml:space="preserve">making. </w:t>
      </w:r>
    </w:p>
    <w:p w14:paraId="5EBB41F9" w14:textId="52AD231E" w:rsidR="006547EA" w:rsidRDefault="0030323A" w:rsidP="006547EA">
      <w:pPr>
        <w:spacing w:line="480" w:lineRule="auto"/>
        <w:rPr>
          <w:rFonts w:ascii="Garamond" w:hAnsi="Garamond"/>
          <w:color w:val="000000" w:themeColor="text1"/>
        </w:rPr>
      </w:pPr>
      <w:r w:rsidRPr="001B1C7A">
        <w:rPr>
          <w:rFonts w:ascii="Garamond" w:hAnsi="Garamond"/>
          <w:color w:val="000000" w:themeColor="text1"/>
        </w:rPr>
        <w:tab/>
        <w:t xml:space="preserve">There are many unknowns: did Buckler’s memorandum reach the Senate Foreign Relations Committee? Who else was advocating for oil, and how emphatically? What is known is that the American Committee to Negotiate Peace had the ear of all the top-level policymakers. That Buckler’s memorandum turned heads is a given; it also played into the growing number of </w:t>
      </w:r>
      <w:r w:rsidR="00C91D4A">
        <w:rPr>
          <w:rFonts w:ascii="Garamond" w:hAnsi="Garamond"/>
          <w:color w:val="000000" w:themeColor="text1"/>
        </w:rPr>
        <w:t xml:space="preserve">U.S. government </w:t>
      </w:r>
      <w:r w:rsidRPr="001B1C7A">
        <w:rPr>
          <w:rFonts w:ascii="Garamond" w:hAnsi="Garamond"/>
          <w:color w:val="000000" w:themeColor="text1"/>
        </w:rPr>
        <w:t xml:space="preserve">voices who were calling for increased U.S. involvement in the Middle East at the time. </w:t>
      </w:r>
      <w:r w:rsidR="00C91D4A">
        <w:rPr>
          <w:rFonts w:ascii="Garamond" w:hAnsi="Garamond"/>
          <w:color w:val="000000" w:themeColor="text1"/>
        </w:rPr>
        <w:t>These voices, like Requa and Daniels, aligned with Yale’s thoughts in the fact they wanted the Open Door to ensure against the national security disaster of an oil shortage.</w:t>
      </w:r>
      <w:r w:rsidRPr="001B1C7A">
        <w:rPr>
          <w:rFonts w:ascii="Garamond" w:hAnsi="Garamond"/>
          <w:color w:val="000000" w:themeColor="text1"/>
        </w:rPr>
        <w:t xml:space="preserve"> </w:t>
      </w:r>
      <w:r w:rsidR="00F82AFD">
        <w:rPr>
          <w:rFonts w:ascii="Garamond" w:hAnsi="Garamond"/>
          <w:color w:val="000000" w:themeColor="text1"/>
        </w:rPr>
        <w:t>W</w:t>
      </w:r>
      <w:r w:rsidR="00875A8C">
        <w:rPr>
          <w:rFonts w:ascii="Garamond" w:hAnsi="Garamond"/>
          <w:color w:val="000000" w:themeColor="text1"/>
        </w:rPr>
        <w:t>hen observing this process from the perspective of the K.C.C., which provided the United States a unique window into Middle Eastern oil competition, it is evident that</w:t>
      </w:r>
      <w:r w:rsidR="00F21B78">
        <w:rPr>
          <w:rFonts w:ascii="Garamond" w:hAnsi="Garamond"/>
          <w:color w:val="000000" w:themeColor="text1"/>
        </w:rPr>
        <w:t xml:space="preserve"> </w:t>
      </w:r>
      <w:r w:rsidR="00B37E6E">
        <w:rPr>
          <w:rFonts w:ascii="Garamond" w:hAnsi="Garamond"/>
          <w:color w:val="000000" w:themeColor="text1"/>
        </w:rPr>
        <w:t xml:space="preserve">the </w:t>
      </w:r>
      <w:r w:rsidR="00F21B78">
        <w:rPr>
          <w:rFonts w:ascii="Garamond" w:hAnsi="Garamond"/>
          <w:color w:val="000000" w:themeColor="text1"/>
        </w:rPr>
        <w:t>oil magnates</w:t>
      </w:r>
      <w:r w:rsidR="00B37E6E">
        <w:rPr>
          <w:rFonts w:ascii="Garamond" w:hAnsi="Garamond"/>
          <w:color w:val="000000" w:themeColor="text1"/>
        </w:rPr>
        <w:t>’</w:t>
      </w:r>
      <w:r w:rsidR="00875A8C">
        <w:rPr>
          <w:rFonts w:ascii="Garamond" w:hAnsi="Garamond"/>
          <w:color w:val="000000" w:themeColor="text1"/>
        </w:rPr>
        <w:t xml:space="preserve"> true effect was raising the status of Yale</w:t>
      </w:r>
      <w:r w:rsidR="00B37E6E">
        <w:rPr>
          <w:rFonts w:ascii="Garamond" w:hAnsi="Garamond"/>
          <w:color w:val="000000" w:themeColor="text1"/>
        </w:rPr>
        <w:t xml:space="preserve"> </w:t>
      </w:r>
      <w:r w:rsidR="00875A8C">
        <w:rPr>
          <w:rFonts w:ascii="Garamond" w:hAnsi="Garamond"/>
          <w:color w:val="000000" w:themeColor="text1"/>
        </w:rPr>
        <w:t xml:space="preserve">in the eyes of U.S. policymakers. In turn, Yale justified the Open Door primarily with national </w:t>
      </w:r>
      <w:r w:rsidR="00974DEA">
        <w:rPr>
          <w:rFonts w:ascii="Garamond" w:hAnsi="Garamond"/>
          <w:color w:val="000000" w:themeColor="text1"/>
        </w:rPr>
        <w:t xml:space="preserve">security </w:t>
      </w:r>
      <w:r w:rsidR="00875A8C">
        <w:rPr>
          <w:rFonts w:ascii="Garamond" w:hAnsi="Garamond"/>
          <w:color w:val="000000" w:themeColor="text1"/>
        </w:rPr>
        <w:t>considerations. After all, to Yale oil represented the “creation of power.”</w:t>
      </w:r>
      <w:r w:rsidR="0074706E">
        <w:rPr>
          <w:rStyle w:val="FootnoteReference"/>
          <w:rFonts w:ascii="Garamond" w:hAnsi="Garamond"/>
          <w:color w:val="000000" w:themeColor="text1"/>
        </w:rPr>
        <w:footnoteReference w:id="232"/>
      </w:r>
      <w:r w:rsidR="00875A8C">
        <w:rPr>
          <w:rFonts w:ascii="Garamond" w:hAnsi="Garamond"/>
          <w:color w:val="000000" w:themeColor="text1"/>
        </w:rPr>
        <w:t xml:space="preserve"> </w:t>
      </w:r>
      <w:r w:rsidR="001701ED">
        <w:rPr>
          <w:rFonts w:ascii="Garamond" w:hAnsi="Garamond"/>
          <w:color w:val="000000" w:themeColor="text1"/>
        </w:rPr>
        <w:t xml:space="preserve">Through these activities, an alignment of circumstance formed. </w:t>
      </w:r>
    </w:p>
    <w:p w14:paraId="1FBA3D25" w14:textId="71CF093B" w:rsidR="006547EA" w:rsidRDefault="006547EA" w:rsidP="004F24FA">
      <w:pPr>
        <w:pStyle w:val="Heading1"/>
        <w:numPr>
          <w:ilvl w:val="0"/>
          <w:numId w:val="40"/>
        </w:numPr>
        <w:rPr>
          <w:rFonts w:ascii="Garamond" w:hAnsi="Garamond"/>
          <w:color w:val="000000" w:themeColor="text1"/>
        </w:rPr>
      </w:pPr>
      <w:bookmarkStart w:id="66" w:name="_Toc66731817"/>
      <w:r w:rsidRPr="006547EA">
        <w:rPr>
          <w:rFonts w:ascii="Garamond" w:hAnsi="Garamond"/>
          <w:color w:val="000000" w:themeColor="text1"/>
        </w:rPr>
        <w:t>Conclusion</w:t>
      </w:r>
      <w:bookmarkEnd w:id="66"/>
      <w:r w:rsidRPr="006547EA">
        <w:rPr>
          <w:rFonts w:ascii="Garamond" w:hAnsi="Garamond"/>
          <w:color w:val="000000" w:themeColor="text1"/>
        </w:rPr>
        <w:t xml:space="preserve"> </w:t>
      </w:r>
    </w:p>
    <w:p w14:paraId="258170BF" w14:textId="77777777" w:rsidR="004F24FA" w:rsidRPr="004F24FA" w:rsidRDefault="004F24FA" w:rsidP="004F00CB">
      <w:pPr>
        <w:ind w:left="1440"/>
        <w:rPr>
          <w:lang w:bidi="en-US"/>
        </w:rPr>
      </w:pPr>
    </w:p>
    <w:p w14:paraId="0D3625EA" w14:textId="3BF2AAE9" w:rsidR="00E51B03" w:rsidRDefault="006547EA" w:rsidP="004F24FA">
      <w:pPr>
        <w:spacing w:line="480" w:lineRule="auto"/>
        <w:ind w:firstLine="360"/>
        <w:rPr>
          <w:rFonts w:ascii="Garamond" w:hAnsi="Garamond"/>
          <w:color w:val="000000" w:themeColor="text1"/>
        </w:rPr>
      </w:pPr>
      <w:r>
        <w:rPr>
          <w:rFonts w:ascii="Garamond" w:hAnsi="Garamond"/>
          <w:color w:val="000000" w:themeColor="text1"/>
        </w:rPr>
        <w:t xml:space="preserve">The </w:t>
      </w:r>
      <w:r w:rsidR="00C6532D">
        <w:rPr>
          <w:rFonts w:ascii="Garamond" w:hAnsi="Garamond"/>
          <w:color w:val="000000" w:themeColor="text1"/>
        </w:rPr>
        <w:t>K.C.C.</w:t>
      </w:r>
      <w:r>
        <w:rPr>
          <w:rFonts w:ascii="Garamond" w:hAnsi="Garamond"/>
          <w:color w:val="000000" w:themeColor="text1"/>
        </w:rPr>
        <w:t xml:space="preserve"> has a complicated narrative with oil. Mentioned in the beginning, scholars </w:t>
      </w:r>
      <w:r w:rsidR="00331CDE">
        <w:rPr>
          <w:rFonts w:ascii="Garamond" w:hAnsi="Garamond"/>
          <w:color w:val="000000" w:themeColor="text1"/>
        </w:rPr>
        <w:t xml:space="preserve">who dismiss </w:t>
      </w:r>
      <w:r>
        <w:rPr>
          <w:rFonts w:ascii="Garamond" w:hAnsi="Garamond"/>
          <w:color w:val="000000" w:themeColor="text1"/>
        </w:rPr>
        <w:t xml:space="preserve">the </w:t>
      </w:r>
      <w:r w:rsidR="00C6532D">
        <w:rPr>
          <w:rFonts w:ascii="Garamond" w:hAnsi="Garamond"/>
          <w:color w:val="000000" w:themeColor="text1"/>
        </w:rPr>
        <w:t>K.C.C.</w:t>
      </w:r>
      <w:r>
        <w:rPr>
          <w:rFonts w:ascii="Garamond" w:hAnsi="Garamond"/>
          <w:color w:val="000000" w:themeColor="text1"/>
        </w:rPr>
        <w:t xml:space="preserve"> as an example of the divergence between Wilson’s ostensible idealism and practiced pragmatism overlook an important moment in U.S. – Middle East</w:t>
      </w:r>
      <w:r w:rsidR="00685E38">
        <w:rPr>
          <w:rFonts w:ascii="Garamond" w:hAnsi="Garamond"/>
          <w:color w:val="000000" w:themeColor="text1"/>
        </w:rPr>
        <w:t xml:space="preserve">ern </w:t>
      </w:r>
      <w:r>
        <w:rPr>
          <w:rFonts w:ascii="Garamond" w:hAnsi="Garamond"/>
          <w:color w:val="000000" w:themeColor="text1"/>
        </w:rPr>
        <w:t>relations</w:t>
      </w:r>
      <w:r w:rsidR="00331CDE">
        <w:rPr>
          <w:rFonts w:ascii="Garamond" w:hAnsi="Garamond"/>
          <w:color w:val="000000" w:themeColor="text1"/>
        </w:rPr>
        <w:t>. This</w:t>
      </w:r>
      <w:r w:rsidR="004F24FA">
        <w:rPr>
          <w:rFonts w:ascii="Garamond" w:hAnsi="Garamond"/>
          <w:color w:val="000000" w:themeColor="text1"/>
        </w:rPr>
        <w:t xml:space="preserve"> is probably why </w:t>
      </w:r>
      <w:r w:rsidR="00331CDE">
        <w:rPr>
          <w:rFonts w:ascii="Garamond" w:hAnsi="Garamond"/>
          <w:color w:val="000000" w:themeColor="text1"/>
        </w:rPr>
        <w:t>a paucity of</w:t>
      </w:r>
      <w:r w:rsidR="004F24FA">
        <w:rPr>
          <w:rFonts w:ascii="Garamond" w:hAnsi="Garamond"/>
          <w:color w:val="000000" w:themeColor="text1"/>
        </w:rPr>
        <w:t xml:space="preserve"> authors have looked at the </w:t>
      </w:r>
      <w:r w:rsidR="00C6532D">
        <w:rPr>
          <w:rFonts w:ascii="Garamond" w:hAnsi="Garamond"/>
          <w:color w:val="000000" w:themeColor="text1"/>
        </w:rPr>
        <w:t>K.C.C.</w:t>
      </w:r>
      <w:r w:rsidR="004F24FA">
        <w:rPr>
          <w:rFonts w:ascii="Garamond" w:hAnsi="Garamond"/>
          <w:color w:val="000000" w:themeColor="text1"/>
        </w:rPr>
        <w:t xml:space="preserve"> in contexts other than Wilson’s drive for self-determination. </w:t>
      </w:r>
      <w:r w:rsidR="00E51B03">
        <w:rPr>
          <w:rFonts w:ascii="Garamond" w:hAnsi="Garamond"/>
          <w:color w:val="000000" w:themeColor="text1"/>
        </w:rPr>
        <w:t xml:space="preserve">The </w:t>
      </w:r>
      <w:r w:rsidR="00C6532D">
        <w:rPr>
          <w:rFonts w:ascii="Garamond" w:hAnsi="Garamond"/>
          <w:color w:val="000000" w:themeColor="text1"/>
        </w:rPr>
        <w:t>K.C.C.</w:t>
      </w:r>
      <w:r w:rsidR="00E51B03">
        <w:rPr>
          <w:rFonts w:ascii="Garamond" w:hAnsi="Garamond"/>
          <w:color w:val="000000" w:themeColor="text1"/>
        </w:rPr>
        <w:t xml:space="preserve">, however, did not set out on their journey to surreptitiously advance policy </w:t>
      </w:r>
      <w:r w:rsidR="001701ED">
        <w:rPr>
          <w:rFonts w:ascii="Garamond" w:hAnsi="Garamond"/>
          <w:color w:val="000000" w:themeColor="text1"/>
        </w:rPr>
        <w:t>salubrious to</w:t>
      </w:r>
      <w:r w:rsidR="00E51B03">
        <w:rPr>
          <w:rFonts w:ascii="Garamond" w:hAnsi="Garamond"/>
          <w:color w:val="000000" w:themeColor="text1"/>
        </w:rPr>
        <w:t xml:space="preserve"> oil companies. Indicated by many of their personal records, most of the Commissioners truly wanted to elucidate the desires of the Syrian people. </w:t>
      </w:r>
      <w:r w:rsidR="008C3C7E">
        <w:rPr>
          <w:rFonts w:ascii="Garamond" w:hAnsi="Garamond"/>
          <w:color w:val="000000" w:themeColor="text1"/>
        </w:rPr>
        <w:t xml:space="preserve">The </w:t>
      </w:r>
      <w:r w:rsidR="00E51B03">
        <w:rPr>
          <w:rFonts w:ascii="Garamond" w:hAnsi="Garamond"/>
          <w:color w:val="000000" w:themeColor="text1"/>
        </w:rPr>
        <w:t xml:space="preserve">recommendations </w:t>
      </w:r>
      <w:r w:rsidR="00E51B03">
        <w:rPr>
          <w:rFonts w:ascii="Garamond" w:hAnsi="Garamond"/>
          <w:color w:val="000000" w:themeColor="text1"/>
        </w:rPr>
        <w:lastRenderedPageBreak/>
        <w:t xml:space="preserve">were not followed. </w:t>
      </w:r>
      <w:r w:rsidR="004F00CB">
        <w:rPr>
          <w:rFonts w:ascii="Garamond" w:hAnsi="Garamond"/>
          <w:color w:val="000000" w:themeColor="text1"/>
        </w:rPr>
        <w:t xml:space="preserve">Through Yale, however, the </w:t>
      </w:r>
      <w:r w:rsidR="00C6532D">
        <w:rPr>
          <w:rFonts w:ascii="Garamond" w:hAnsi="Garamond"/>
          <w:color w:val="000000" w:themeColor="text1"/>
        </w:rPr>
        <w:t>K.C.C.</w:t>
      </w:r>
      <w:r w:rsidR="004F00CB">
        <w:rPr>
          <w:rFonts w:ascii="Garamond" w:hAnsi="Garamond"/>
          <w:color w:val="000000" w:themeColor="text1"/>
        </w:rPr>
        <w:t xml:space="preserve"> did influence Washington’s considerations about the Open Door</w:t>
      </w:r>
      <w:r w:rsidR="00685E38">
        <w:rPr>
          <w:rFonts w:ascii="Garamond" w:hAnsi="Garamond"/>
          <w:color w:val="000000" w:themeColor="text1"/>
        </w:rPr>
        <w:t xml:space="preserve"> from a national security perspective. </w:t>
      </w:r>
    </w:p>
    <w:p w14:paraId="7F681687" w14:textId="4DEB35C2" w:rsidR="004F24FA" w:rsidRDefault="00AE6BBC" w:rsidP="004F24FA">
      <w:pPr>
        <w:spacing w:line="480" w:lineRule="auto"/>
        <w:ind w:firstLine="360"/>
        <w:rPr>
          <w:rFonts w:ascii="Garamond" w:hAnsi="Garamond"/>
          <w:color w:val="000000" w:themeColor="text1"/>
        </w:rPr>
      </w:pPr>
      <w:r>
        <w:rPr>
          <w:rFonts w:ascii="Garamond" w:hAnsi="Garamond"/>
          <w:color w:val="000000" w:themeColor="text1"/>
        </w:rPr>
        <w:t>One must remember that</w:t>
      </w:r>
      <w:r w:rsidR="004F24FA">
        <w:rPr>
          <w:rFonts w:ascii="Garamond" w:hAnsi="Garamond"/>
          <w:color w:val="000000" w:themeColor="text1"/>
        </w:rPr>
        <w:t xml:space="preserve"> throughout all these negotiations the people of Mesopotamia</w:t>
      </w:r>
      <w:r>
        <w:rPr>
          <w:rFonts w:ascii="Garamond" w:hAnsi="Garamond"/>
          <w:color w:val="000000" w:themeColor="text1"/>
        </w:rPr>
        <w:t xml:space="preserve"> </w:t>
      </w:r>
      <w:r w:rsidR="004F24FA">
        <w:rPr>
          <w:rFonts w:ascii="Garamond" w:hAnsi="Garamond"/>
          <w:color w:val="000000" w:themeColor="text1"/>
        </w:rPr>
        <w:t xml:space="preserve">would </w:t>
      </w:r>
      <w:r>
        <w:rPr>
          <w:rFonts w:ascii="Garamond" w:hAnsi="Garamond"/>
          <w:color w:val="000000" w:themeColor="text1"/>
        </w:rPr>
        <w:t xml:space="preserve">not </w:t>
      </w:r>
      <w:r w:rsidR="004F24FA">
        <w:rPr>
          <w:rFonts w:ascii="Garamond" w:hAnsi="Garamond"/>
          <w:color w:val="000000" w:themeColor="text1"/>
        </w:rPr>
        <w:t xml:space="preserve">benefit from the </w:t>
      </w:r>
      <w:r w:rsidR="002A02E6">
        <w:rPr>
          <w:rFonts w:ascii="Garamond" w:hAnsi="Garamond"/>
          <w:color w:val="000000" w:themeColor="text1"/>
        </w:rPr>
        <w:t>oil</w:t>
      </w:r>
      <w:r w:rsidR="004F24FA">
        <w:rPr>
          <w:rFonts w:ascii="Garamond" w:hAnsi="Garamond"/>
          <w:color w:val="000000" w:themeColor="text1"/>
        </w:rPr>
        <w:t xml:space="preserve">. Potentially, the tax revenues from oil sales would go towards the Mesopotamian state. Most money, however, would go to the British Empire. </w:t>
      </w:r>
      <w:r w:rsidR="004F00CB">
        <w:rPr>
          <w:rFonts w:ascii="Garamond" w:hAnsi="Garamond"/>
          <w:color w:val="000000" w:themeColor="text1"/>
        </w:rPr>
        <w:t>The Open Door, therefore, is a policy instrument that demands more analysis</w:t>
      </w:r>
      <w:r w:rsidR="00331CDE">
        <w:rPr>
          <w:rFonts w:ascii="Garamond" w:hAnsi="Garamond"/>
          <w:color w:val="000000" w:themeColor="text1"/>
        </w:rPr>
        <w:t xml:space="preserve"> in this regard</w:t>
      </w:r>
      <w:r w:rsidR="004F00CB">
        <w:rPr>
          <w:rFonts w:ascii="Garamond" w:hAnsi="Garamond"/>
          <w:color w:val="000000" w:themeColor="text1"/>
        </w:rPr>
        <w:t xml:space="preserve">. Standard Oil, and other American oil companies, did not care about the people of </w:t>
      </w:r>
      <w:r w:rsidR="00331CDE">
        <w:rPr>
          <w:rFonts w:ascii="Garamond" w:hAnsi="Garamond"/>
          <w:color w:val="000000" w:themeColor="text1"/>
        </w:rPr>
        <w:t xml:space="preserve">Mesopotamia </w:t>
      </w:r>
      <w:r w:rsidR="004F00CB">
        <w:rPr>
          <w:rFonts w:ascii="Garamond" w:hAnsi="Garamond"/>
          <w:color w:val="000000" w:themeColor="text1"/>
        </w:rPr>
        <w:t>any more than the British did. However, the Open Door did break up a British monopsony in the Mesopotamian oil market</w:t>
      </w:r>
      <w:r w:rsidR="00331CDE">
        <w:rPr>
          <w:rFonts w:ascii="Garamond" w:hAnsi="Garamond"/>
          <w:color w:val="000000" w:themeColor="text1"/>
        </w:rPr>
        <w:t xml:space="preserve"> and paved the way for increased investment in Mesopotamia</w:t>
      </w:r>
      <w:r w:rsidR="004F00CB">
        <w:rPr>
          <w:rFonts w:ascii="Garamond" w:hAnsi="Garamond"/>
          <w:color w:val="000000" w:themeColor="text1"/>
        </w:rPr>
        <w:t xml:space="preserve">. The Open Door also showed Britain that it could not operate as if it were still a colonial power – locking others out of its territory. Although powers in Paris did not adopt the recommendations put forward by the </w:t>
      </w:r>
      <w:r w:rsidR="00C6532D">
        <w:rPr>
          <w:rFonts w:ascii="Garamond" w:hAnsi="Garamond"/>
          <w:color w:val="000000" w:themeColor="text1"/>
        </w:rPr>
        <w:t>K.C.C.</w:t>
      </w:r>
      <w:r w:rsidR="004F00CB">
        <w:rPr>
          <w:rFonts w:ascii="Garamond" w:hAnsi="Garamond"/>
          <w:color w:val="000000" w:themeColor="text1"/>
        </w:rPr>
        <w:t xml:space="preserve">, </w:t>
      </w:r>
      <w:r w:rsidR="00331CDE">
        <w:rPr>
          <w:rFonts w:ascii="Garamond" w:hAnsi="Garamond"/>
          <w:color w:val="000000" w:themeColor="text1"/>
        </w:rPr>
        <w:t>t</w:t>
      </w:r>
      <w:r w:rsidR="004F00CB">
        <w:rPr>
          <w:rFonts w:ascii="Garamond" w:hAnsi="Garamond"/>
          <w:color w:val="000000" w:themeColor="text1"/>
        </w:rPr>
        <w:t xml:space="preserve">he U.S. still tried to ensure that Britain and France were adhering to a </w:t>
      </w:r>
      <w:r w:rsidR="00685E38">
        <w:rPr>
          <w:rFonts w:ascii="Garamond" w:hAnsi="Garamond"/>
          <w:color w:val="000000" w:themeColor="text1"/>
        </w:rPr>
        <w:t>nascent</w:t>
      </w:r>
      <w:r w:rsidR="004F00CB">
        <w:rPr>
          <w:rFonts w:ascii="Garamond" w:hAnsi="Garamond"/>
          <w:color w:val="000000" w:themeColor="text1"/>
        </w:rPr>
        <w:t xml:space="preserve"> international law</w:t>
      </w:r>
      <w:r w:rsidR="008D4574">
        <w:rPr>
          <w:rFonts w:ascii="Garamond" w:hAnsi="Garamond"/>
          <w:color w:val="000000" w:themeColor="text1"/>
        </w:rPr>
        <w:t xml:space="preserve">. </w:t>
      </w:r>
    </w:p>
    <w:p w14:paraId="079F48D0" w14:textId="32CABF5D" w:rsidR="00A04BAE" w:rsidRDefault="004F00CB" w:rsidP="00A16282">
      <w:pPr>
        <w:spacing w:line="480" w:lineRule="auto"/>
        <w:ind w:firstLine="360"/>
        <w:rPr>
          <w:rFonts w:ascii="Garamond" w:hAnsi="Garamond"/>
          <w:color w:val="000000" w:themeColor="text1"/>
        </w:rPr>
      </w:pPr>
      <w:r>
        <w:rPr>
          <w:rFonts w:ascii="Garamond" w:hAnsi="Garamond"/>
          <w:color w:val="000000" w:themeColor="text1"/>
        </w:rPr>
        <w:t xml:space="preserve">Today, the U.S. </w:t>
      </w:r>
      <w:r w:rsidR="00685E38">
        <w:rPr>
          <w:rFonts w:ascii="Garamond" w:hAnsi="Garamond"/>
          <w:color w:val="000000" w:themeColor="text1"/>
        </w:rPr>
        <w:t>faces</w:t>
      </w:r>
      <w:r>
        <w:rPr>
          <w:rFonts w:ascii="Garamond" w:hAnsi="Garamond"/>
          <w:color w:val="000000" w:themeColor="text1"/>
        </w:rPr>
        <w:t xml:space="preserve"> a situation in the South China Sea that recalls the application of the Open – Door. Or, in contemporary parlance, the United Nations Convention for the Law of the Sea. </w:t>
      </w:r>
      <w:r w:rsidR="00B07EE9">
        <w:rPr>
          <w:rFonts w:ascii="Garamond" w:hAnsi="Garamond"/>
          <w:color w:val="000000" w:themeColor="text1"/>
        </w:rPr>
        <w:t xml:space="preserve">China is claiming vast swaths of territory beyond its borders. Whether for nationalistic or economic reasons, China is attempting to hinder the equal treatment of all nations under commerce and law, as stated by John Davis in 1920. Although current day examples of ensuring the Open – Door take form in Freedom of Navigation Operations by carrier </w:t>
      </w:r>
      <w:r w:rsidR="00A04BAE">
        <w:rPr>
          <w:rFonts w:ascii="Garamond" w:hAnsi="Garamond"/>
          <w:color w:val="000000" w:themeColor="text1"/>
        </w:rPr>
        <w:t xml:space="preserve">strike </w:t>
      </w:r>
      <w:r w:rsidR="00B07EE9">
        <w:rPr>
          <w:rFonts w:ascii="Garamond" w:hAnsi="Garamond"/>
          <w:color w:val="000000" w:themeColor="text1"/>
        </w:rPr>
        <w:t>groups</w:t>
      </w:r>
      <w:r w:rsidR="000140C7">
        <w:rPr>
          <w:rFonts w:ascii="Garamond" w:hAnsi="Garamond"/>
          <w:color w:val="000000" w:themeColor="text1"/>
        </w:rPr>
        <w:t>, the principle is still the same.</w:t>
      </w:r>
      <w:r w:rsidR="00B07EE9">
        <w:rPr>
          <w:rFonts w:ascii="Garamond" w:hAnsi="Garamond"/>
          <w:color w:val="000000" w:themeColor="text1"/>
        </w:rPr>
        <w:t xml:space="preserve"> </w:t>
      </w:r>
      <w:r w:rsidR="00A16282">
        <w:rPr>
          <w:rFonts w:ascii="Garamond" w:hAnsi="Garamond"/>
          <w:color w:val="000000" w:themeColor="text1"/>
        </w:rPr>
        <w:t xml:space="preserve">   </w:t>
      </w:r>
      <w:r w:rsidR="00A16282" w:rsidRPr="00A16282">
        <w:rPr>
          <w:rFonts w:ascii="Garamond" w:hAnsi="Garamond"/>
          <w:color w:val="FFFFFF" w:themeColor="background1"/>
        </w:rPr>
        <w:t>B</w:t>
      </w:r>
      <w:r w:rsidR="00A16282">
        <w:rPr>
          <w:rFonts w:ascii="Garamond" w:hAnsi="Garamond"/>
          <w:color w:val="FFFFFF" w:themeColor="background1"/>
        </w:rPr>
        <w:t xml:space="preserve">      </w:t>
      </w:r>
      <w:r w:rsidR="00A04BAE">
        <w:rPr>
          <w:rFonts w:ascii="Garamond" w:hAnsi="Garamond"/>
          <w:color w:val="000000" w:themeColor="text1"/>
        </w:rPr>
        <w:t>Likewise, most discussions of the South China Sea in 2021 focus on its hydrocarbon reserves.</w:t>
      </w:r>
      <w:r w:rsidR="005341D7">
        <w:rPr>
          <w:rFonts w:ascii="Garamond" w:hAnsi="Garamond"/>
          <w:color w:val="000000" w:themeColor="text1"/>
        </w:rPr>
        <w:t xml:space="preserve"> </w:t>
      </w:r>
      <w:r w:rsidR="00A04BAE">
        <w:rPr>
          <w:rFonts w:ascii="Garamond" w:hAnsi="Garamond"/>
          <w:color w:val="000000" w:themeColor="text1"/>
        </w:rPr>
        <w:t>And many say that China is in the South China Sea to ensure its energy security.</w:t>
      </w:r>
      <w:r w:rsidR="002D2DC9">
        <w:rPr>
          <w:rStyle w:val="FootnoteReference"/>
          <w:rFonts w:ascii="Garamond" w:hAnsi="Garamond"/>
          <w:color w:val="000000" w:themeColor="text1"/>
        </w:rPr>
        <w:footnoteReference w:id="233"/>
      </w:r>
      <w:r w:rsidR="00A04BAE">
        <w:rPr>
          <w:rFonts w:ascii="Garamond" w:hAnsi="Garamond"/>
          <w:color w:val="000000" w:themeColor="text1"/>
        </w:rPr>
        <w:t xml:space="preserve"> When one observes the number of reserves in comparison to China’s demand, it becomes clear that the South China Sea is not quintessential to China’s energy needs.</w:t>
      </w:r>
      <w:r w:rsidR="002D2DC9" w:rsidRPr="002D2DC9">
        <w:rPr>
          <w:rStyle w:val="FootnoteReference"/>
          <w:rFonts w:ascii="Garamond" w:hAnsi="Garamond"/>
          <w:color w:val="000000" w:themeColor="text1"/>
        </w:rPr>
        <w:t xml:space="preserve"> </w:t>
      </w:r>
      <w:r w:rsidR="002D2DC9">
        <w:rPr>
          <w:rStyle w:val="FootnoteReference"/>
          <w:rFonts w:ascii="Garamond" w:hAnsi="Garamond"/>
          <w:color w:val="000000" w:themeColor="text1"/>
        </w:rPr>
        <w:footnoteReference w:id="234"/>
      </w:r>
      <w:r w:rsidR="00A04BAE">
        <w:rPr>
          <w:rFonts w:ascii="Garamond" w:hAnsi="Garamond"/>
          <w:color w:val="000000" w:themeColor="text1"/>
        </w:rPr>
        <w:t xml:space="preserve"> What the Sea does contain, however, are </w:t>
      </w:r>
      <w:r w:rsidR="00A04BAE">
        <w:rPr>
          <w:rFonts w:ascii="Garamond" w:hAnsi="Garamond"/>
          <w:color w:val="000000" w:themeColor="text1"/>
        </w:rPr>
        <w:lastRenderedPageBreak/>
        <w:t>passages through which</w:t>
      </w:r>
      <w:r w:rsidR="00F4400C">
        <w:rPr>
          <w:rFonts w:ascii="Garamond" w:hAnsi="Garamond"/>
          <w:color w:val="000000" w:themeColor="text1"/>
        </w:rPr>
        <w:t xml:space="preserve"> 3.37 trillion dollars </w:t>
      </w:r>
      <w:r w:rsidR="00A04BAE">
        <w:rPr>
          <w:rFonts w:ascii="Garamond" w:hAnsi="Garamond"/>
          <w:color w:val="000000" w:themeColor="text1"/>
        </w:rPr>
        <w:t>of the world’s trade pass</w:t>
      </w:r>
      <w:r w:rsidR="00F4400C">
        <w:rPr>
          <w:rFonts w:ascii="Garamond" w:hAnsi="Garamond"/>
          <w:color w:val="000000" w:themeColor="text1"/>
        </w:rPr>
        <w:t>es</w:t>
      </w:r>
      <w:r w:rsidR="00A04BAE">
        <w:rPr>
          <w:rFonts w:ascii="Garamond" w:hAnsi="Garamond"/>
          <w:color w:val="000000" w:themeColor="text1"/>
        </w:rPr>
        <w:t>.</w:t>
      </w:r>
      <w:r w:rsidR="00A04BAE">
        <w:rPr>
          <w:rStyle w:val="FootnoteReference"/>
          <w:rFonts w:ascii="Garamond" w:hAnsi="Garamond"/>
          <w:color w:val="000000" w:themeColor="text1"/>
        </w:rPr>
        <w:footnoteReference w:id="235"/>
      </w:r>
      <w:r w:rsidR="00A04BAE">
        <w:rPr>
          <w:rFonts w:ascii="Garamond" w:hAnsi="Garamond"/>
          <w:color w:val="000000" w:themeColor="text1"/>
        </w:rPr>
        <w:t xml:space="preserve"> Thus, U.S. Freedom of Navigation Operations are not only to ensure open access to hydrocarbons; they are to secure a third of the world’s trade that would, if hindered, devastate the U.S. economy and threaten national security. Again, the U.S. uses </w:t>
      </w:r>
      <w:r w:rsidR="003E0B62">
        <w:rPr>
          <w:rFonts w:ascii="Garamond" w:hAnsi="Garamond"/>
          <w:color w:val="000000" w:themeColor="text1"/>
        </w:rPr>
        <w:t xml:space="preserve">policies </w:t>
      </w:r>
      <w:r w:rsidR="00AE6BBC">
        <w:rPr>
          <w:rFonts w:ascii="Garamond" w:hAnsi="Garamond"/>
          <w:color w:val="000000" w:themeColor="text1"/>
        </w:rPr>
        <w:t>similar</w:t>
      </w:r>
      <w:r w:rsidR="00A04BAE">
        <w:rPr>
          <w:rFonts w:ascii="Garamond" w:hAnsi="Garamond"/>
          <w:color w:val="000000" w:themeColor="text1"/>
        </w:rPr>
        <w:t xml:space="preserve"> </w:t>
      </w:r>
      <w:r w:rsidR="00AE6BBC">
        <w:rPr>
          <w:rFonts w:ascii="Garamond" w:hAnsi="Garamond"/>
          <w:color w:val="000000" w:themeColor="text1"/>
        </w:rPr>
        <w:t>to</w:t>
      </w:r>
      <w:r w:rsidR="00A04BAE">
        <w:rPr>
          <w:rFonts w:ascii="Garamond" w:hAnsi="Garamond"/>
          <w:color w:val="000000" w:themeColor="text1"/>
        </w:rPr>
        <w:t xml:space="preserve"> the Open Door to safeguard its national security. </w:t>
      </w:r>
    </w:p>
    <w:p w14:paraId="685B589C" w14:textId="42221FDD" w:rsidR="004F24FA" w:rsidRPr="001701ED" w:rsidRDefault="00A04BAE" w:rsidP="001701ED">
      <w:pPr>
        <w:widowControl w:val="0"/>
        <w:spacing w:line="480" w:lineRule="auto"/>
        <w:ind w:firstLine="360"/>
        <w:rPr>
          <w:rFonts w:ascii="Garamond" w:hAnsi="Garamond"/>
          <w:color w:val="000000" w:themeColor="text1"/>
        </w:rPr>
      </w:pPr>
      <w:r>
        <w:rPr>
          <w:rFonts w:ascii="Garamond" w:hAnsi="Garamond"/>
          <w:color w:val="000000" w:themeColor="text1"/>
        </w:rPr>
        <w:t xml:space="preserve">There is no doubt </w:t>
      </w:r>
      <w:r w:rsidR="00AF183C">
        <w:rPr>
          <w:rFonts w:ascii="Garamond" w:hAnsi="Garamond"/>
          <w:color w:val="000000" w:themeColor="text1"/>
        </w:rPr>
        <w:t xml:space="preserve">that </w:t>
      </w:r>
      <w:r>
        <w:rPr>
          <w:rFonts w:ascii="Garamond" w:hAnsi="Garamond"/>
          <w:color w:val="000000" w:themeColor="text1"/>
        </w:rPr>
        <w:t xml:space="preserve">oil magnates influenced the articulation of the Open Door policy towards the Middle East in 1920. The extent to which these magnates influenced the policy, however, can easily be overemphasized. As found in this paper, </w:t>
      </w:r>
      <w:r w:rsidR="00685E38">
        <w:rPr>
          <w:rFonts w:ascii="Garamond" w:hAnsi="Garamond"/>
          <w:color w:val="000000" w:themeColor="text1"/>
        </w:rPr>
        <w:t>oil interested actors</w:t>
      </w:r>
      <w:r>
        <w:rPr>
          <w:rFonts w:ascii="Garamond" w:hAnsi="Garamond"/>
          <w:color w:val="000000" w:themeColor="text1"/>
        </w:rPr>
        <w:t xml:space="preserve"> made many attempts to entice the K.C.C. and policymakers into </w:t>
      </w:r>
      <w:r w:rsidR="003F1A58">
        <w:rPr>
          <w:rFonts w:ascii="Garamond" w:hAnsi="Garamond"/>
          <w:color w:val="000000" w:themeColor="text1"/>
        </w:rPr>
        <w:t xml:space="preserve">endorsing the Open Door for oil profits. When observing the policymaker’s deliberations, at least from the perspective of the K.C.C., national security considerations took precedent over supporting the profits of U.S. oil companies. Interestingly, the British Foreign Office gave implicit support to Anglo – Persian long before oil became an imperative national security concern. The U.S., on the other hand, let Americans such as Chester flounder until oil actually became relevant to national security with the incremental switch of the U.S. Navy to oil. Multiple times, Yale referenced national security considerations, Japan or ideas that were previously recommended by policymakers in the name of national security. </w:t>
      </w:r>
      <w:r w:rsidR="00685E38">
        <w:rPr>
          <w:rFonts w:ascii="Garamond" w:hAnsi="Garamond"/>
          <w:color w:val="000000" w:themeColor="text1"/>
        </w:rPr>
        <w:t xml:space="preserve">Yale also discussed commerce, but also in the sense that commerce would increase the U.S.’s status as a power. Again helping national security. </w:t>
      </w:r>
      <w:r w:rsidR="003F1A58">
        <w:rPr>
          <w:rFonts w:ascii="Garamond" w:hAnsi="Garamond"/>
          <w:color w:val="000000" w:themeColor="text1"/>
        </w:rPr>
        <w:t xml:space="preserve">Thomas undoubtedly affected Yale’s thinking, but when the archives are examined, Yale did not simply reiterate what Thomas pushed. Instead, </w:t>
      </w:r>
      <w:r w:rsidR="00254C73">
        <w:rPr>
          <w:rFonts w:ascii="Garamond" w:hAnsi="Garamond"/>
          <w:color w:val="000000" w:themeColor="text1"/>
        </w:rPr>
        <w:t xml:space="preserve">an alignment of circumstance formed, and </w:t>
      </w:r>
      <w:r w:rsidR="003F1A58">
        <w:rPr>
          <w:rFonts w:ascii="Garamond" w:hAnsi="Garamond"/>
          <w:color w:val="000000" w:themeColor="text1"/>
        </w:rPr>
        <w:t>Thomas and the K.C.C. elevated Yale to a level where he could advocate for the national security considerations of oil that soon took the form of the Open Door. Studying the K.C.C. from the perspective of oil competition gives the K.C.C. a new significance, as it is evident the K.C.C. played an, albeit limited, role in the articulation of the Open Door. This begs to question: what else has been overlooked by the K.C.C.’s dismissal?</w:t>
      </w:r>
      <w:bookmarkStart w:id="67" w:name="_Toc63954826"/>
    </w:p>
    <w:p w14:paraId="6BD10C85" w14:textId="47DA3295" w:rsidR="00F56E17" w:rsidRDefault="00F56E17" w:rsidP="00565707">
      <w:pPr>
        <w:pStyle w:val="Heading1"/>
        <w:jc w:val="center"/>
        <w:rPr>
          <w:rFonts w:ascii="Garamond" w:hAnsi="Garamond"/>
          <w:color w:val="000000" w:themeColor="text1"/>
        </w:rPr>
      </w:pPr>
      <w:bookmarkStart w:id="68" w:name="_Toc66731818"/>
      <w:r w:rsidRPr="00AE2284">
        <w:rPr>
          <w:rFonts w:ascii="Garamond" w:hAnsi="Garamond"/>
          <w:color w:val="000000" w:themeColor="text1"/>
        </w:rPr>
        <w:lastRenderedPageBreak/>
        <w:t>Bibliography</w:t>
      </w:r>
      <w:bookmarkEnd w:id="67"/>
      <w:bookmarkEnd w:id="68"/>
    </w:p>
    <w:p w14:paraId="18D35366" w14:textId="77777777" w:rsidR="005D56FC" w:rsidRPr="005D56FC" w:rsidRDefault="005D56FC" w:rsidP="005D56FC">
      <w:pPr>
        <w:rPr>
          <w:lang w:bidi="en-US"/>
        </w:rPr>
      </w:pPr>
    </w:p>
    <w:p w14:paraId="46A98D42" w14:textId="5978D182" w:rsidR="00F56E17" w:rsidRDefault="00F56E17" w:rsidP="00F56E17">
      <w:pPr>
        <w:pStyle w:val="Bibliography"/>
        <w:ind w:left="720" w:hanging="720"/>
        <w:rPr>
          <w:rFonts w:ascii="Garamond" w:hAnsi="Garamond"/>
          <w:noProof/>
        </w:rPr>
      </w:pPr>
      <w:r>
        <w:rPr>
          <w:rFonts w:ascii="Garamond" w:hAnsi="Garamond"/>
          <w:noProof/>
        </w:rPr>
        <w:t>American Mission.</w:t>
      </w:r>
      <w:r w:rsidRPr="00AE2284">
        <w:rPr>
          <w:rFonts w:ascii="Garamond" w:hAnsi="Garamond"/>
          <w:noProof/>
        </w:rPr>
        <w:t xml:space="preserve">"The Commission to Negotiate Peace to the Acting Secretary of State." </w:t>
      </w:r>
      <w:r>
        <w:rPr>
          <w:rFonts w:ascii="Garamond" w:hAnsi="Garamond"/>
          <w:noProof/>
        </w:rPr>
        <w:t>June 5, 1919.</w:t>
      </w:r>
      <w:r w:rsidRPr="00AE2284">
        <w:rPr>
          <w:rFonts w:ascii="Garamond" w:hAnsi="Garamond"/>
          <w:noProof/>
        </w:rPr>
        <w:t xml:space="preserve"> Oil concessions in Palestine and Mesopotamia, Volume II, Papers Relating to Foreign Relations of the United Stats 1919, </w:t>
      </w:r>
      <w:r>
        <w:rPr>
          <w:rFonts w:ascii="Garamond" w:hAnsi="Garamond"/>
          <w:noProof/>
        </w:rPr>
        <w:t xml:space="preserve">Document 201, </w:t>
      </w:r>
      <w:r w:rsidRPr="00EF59CC">
        <w:rPr>
          <w:rFonts w:ascii="Garamond" w:hAnsi="Garamond"/>
          <w:noProof/>
        </w:rPr>
        <w:t>867.6363/6</w:t>
      </w:r>
      <w:r>
        <w:rPr>
          <w:rFonts w:ascii="Garamond" w:hAnsi="Garamond"/>
          <w:noProof/>
        </w:rPr>
        <w:t xml:space="preserve"> </w:t>
      </w:r>
      <w:hyperlink r:id="rId8" w:history="1">
        <w:r w:rsidRPr="000615CB">
          <w:rPr>
            <w:rStyle w:val="Hyperlink"/>
            <w:rFonts w:ascii="Garamond" w:hAnsi="Garamond"/>
            <w:noProof/>
          </w:rPr>
          <w:t>https://history.state.gov/historicaldocuments/frus1919v02/pg_253</w:t>
        </w:r>
      </w:hyperlink>
      <w:r>
        <w:rPr>
          <w:rFonts w:ascii="Garamond" w:hAnsi="Garamond"/>
          <w:noProof/>
        </w:rPr>
        <w:t xml:space="preserve">. </w:t>
      </w:r>
    </w:p>
    <w:p w14:paraId="43FF59BF" w14:textId="3BBA1548" w:rsidR="00C11F8A" w:rsidRDefault="00C11F8A" w:rsidP="00C11F8A">
      <w:pPr>
        <w:rPr>
          <w:rFonts w:ascii="Garamond" w:hAnsi="Garamond"/>
        </w:rPr>
      </w:pPr>
      <w:r>
        <w:rPr>
          <w:rFonts w:ascii="Garamond" w:hAnsi="Garamond"/>
        </w:rPr>
        <w:t xml:space="preserve">Braisted, William R. </w:t>
      </w:r>
      <w:r>
        <w:rPr>
          <w:rFonts w:ascii="Garamond" w:hAnsi="Garamond"/>
          <w:i/>
          <w:iCs/>
        </w:rPr>
        <w:t xml:space="preserve">The United States Navy in the Pacific, 1909 – 1922. </w:t>
      </w:r>
      <w:r>
        <w:rPr>
          <w:rFonts w:ascii="Garamond" w:hAnsi="Garamond"/>
        </w:rPr>
        <w:t xml:space="preserve">Austin: University of Texas at </w:t>
      </w:r>
    </w:p>
    <w:p w14:paraId="0B0A4571" w14:textId="2F66E1BC" w:rsidR="00C11F8A" w:rsidRPr="00680558" w:rsidRDefault="00C11F8A" w:rsidP="00680558">
      <w:pPr>
        <w:ind w:firstLine="720"/>
        <w:rPr>
          <w:rFonts w:ascii="Garamond" w:hAnsi="Garamond"/>
        </w:rPr>
      </w:pPr>
      <w:r>
        <w:rPr>
          <w:rFonts w:ascii="Garamond" w:hAnsi="Garamond"/>
        </w:rPr>
        <w:t>Austin, 1971.</w:t>
      </w:r>
    </w:p>
    <w:p w14:paraId="719CF8B0" w14:textId="19F2417D" w:rsidR="00F56E17" w:rsidRDefault="00F56E17" w:rsidP="00F56E17">
      <w:pPr>
        <w:pStyle w:val="Bibliography"/>
        <w:ind w:left="720" w:hanging="720"/>
        <w:rPr>
          <w:rFonts w:ascii="Garamond" w:hAnsi="Garamond"/>
          <w:noProof/>
        </w:rPr>
      </w:pPr>
      <w:r>
        <w:rPr>
          <w:rFonts w:ascii="Garamond" w:hAnsi="Garamond"/>
          <w:noProof/>
        </w:rPr>
        <w:t>Brecher, F. W.,</w:t>
      </w:r>
      <w:r w:rsidRPr="00AE2284">
        <w:rPr>
          <w:rFonts w:ascii="Garamond" w:hAnsi="Garamond"/>
          <w:noProof/>
        </w:rPr>
        <w:t xml:space="preserve"> "Charles R. Crane's crusade for the Arabs, 1919 </w:t>
      </w:r>
      <w:r>
        <w:rPr>
          <w:rFonts w:ascii="Garamond" w:hAnsi="Garamond"/>
          <w:noProof/>
        </w:rPr>
        <w:t>–</w:t>
      </w:r>
      <w:r w:rsidRPr="00AE2284">
        <w:rPr>
          <w:rFonts w:ascii="Garamond" w:hAnsi="Garamond"/>
          <w:noProof/>
        </w:rPr>
        <w:t xml:space="preserve"> 1939</w:t>
      </w:r>
      <w:r>
        <w:rPr>
          <w:rFonts w:ascii="Garamond" w:hAnsi="Garamond"/>
          <w:noProof/>
        </w:rPr>
        <w:t>,</w:t>
      </w:r>
      <w:r w:rsidRPr="00AE2284">
        <w:rPr>
          <w:rFonts w:ascii="Garamond" w:hAnsi="Garamond"/>
          <w:noProof/>
        </w:rPr>
        <w:t xml:space="preserve">" </w:t>
      </w:r>
      <w:r w:rsidRPr="00AE2284">
        <w:rPr>
          <w:rFonts w:ascii="Garamond" w:hAnsi="Garamond"/>
          <w:i/>
          <w:iCs/>
          <w:noProof/>
        </w:rPr>
        <w:t xml:space="preserve">Middle Eastern Studies </w:t>
      </w:r>
      <w:r>
        <w:rPr>
          <w:rFonts w:ascii="Garamond" w:hAnsi="Garamond"/>
          <w:i/>
          <w:iCs/>
          <w:noProof/>
        </w:rPr>
        <w:t>(</w:t>
      </w:r>
      <w:r w:rsidRPr="00AE2284">
        <w:rPr>
          <w:rFonts w:ascii="Garamond" w:hAnsi="Garamond"/>
          <w:noProof/>
        </w:rPr>
        <w:t>1988</w:t>
      </w:r>
      <w:r>
        <w:rPr>
          <w:rFonts w:ascii="Garamond" w:hAnsi="Garamond"/>
          <w:noProof/>
        </w:rPr>
        <w:t>):</w:t>
      </w:r>
      <w:r w:rsidRPr="00AE2284">
        <w:rPr>
          <w:rFonts w:ascii="Garamond" w:hAnsi="Garamond"/>
          <w:noProof/>
        </w:rPr>
        <w:t xml:space="preserve"> 42-55. </w:t>
      </w:r>
    </w:p>
    <w:p w14:paraId="49B03263" w14:textId="77777777" w:rsidR="00365FFE" w:rsidRDefault="00365FFE" w:rsidP="00365FFE">
      <w:pPr>
        <w:rPr>
          <w:rFonts w:ascii="Garamond" w:hAnsi="Garamond"/>
          <w:noProof/>
        </w:rPr>
      </w:pPr>
      <w:r>
        <w:rPr>
          <w:rFonts w:ascii="Garamond" w:hAnsi="Garamond"/>
        </w:rPr>
        <w:t xml:space="preserve">Bristol, Mark. Letter from Mark R. Bristol to Charles R. Crane </w:t>
      </w:r>
      <w:r w:rsidRPr="002440FD">
        <w:rPr>
          <w:rFonts w:ascii="Garamond" w:hAnsi="Garamond"/>
          <w:noProof/>
        </w:rPr>
        <w:t xml:space="preserve">King-Crane Commission Digital </w:t>
      </w:r>
    </w:p>
    <w:p w14:paraId="7DC71E3D" w14:textId="580F3BB5" w:rsidR="00365FFE" w:rsidRPr="00365FFE" w:rsidRDefault="00365FFE" w:rsidP="00680558">
      <w:pPr>
        <w:ind w:firstLine="720"/>
        <w:rPr>
          <w:rFonts w:ascii="Garamond" w:hAnsi="Garamond"/>
          <w:noProof/>
        </w:rPr>
      </w:pPr>
      <w:r w:rsidRPr="002440FD">
        <w:rPr>
          <w:rFonts w:ascii="Garamond" w:hAnsi="Garamond"/>
          <w:noProof/>
        </w:rPr>
        <w:t xml:space="preserve">Archive, Oberlin College, Ohio, </w:t>
      </w:r>
      <w:r>
        <w:rPr>
          <w:rFonts w:ascii="Garamond" w:hAnsi="Garamond"/>
          <w:noProof/>
        </w:rPr>
        <w:t xml:space="preserve">January 1921. </w:t>
      </w:r>
    </w:p>
    <w:p w14:paraId="5680A67C" w14:textId="77777777" w:rsidR="00365FFE" w:rsidRDefault="00850D77" w:rsidP="00850D77">
      <w:pPr>
        <w:rPr>
          <w:rFonts w:ascii="Garamond" w:hAnsi="Garamond"/>
        </w:rPr>
      </w:pPr>
      <w:r>
        <w:rPr>
          <w:rFonts w:ascii="Garamond" w:hAnsi="Garamond"/>
        </w:rPr>
        <w:t xml:space="preserve">Bryce, Viscount, “The City </w:t>
      </w:r>
      <w:r w:rsidRPr="00680558">
        <w:rPr>
          <w:rFonts w:ascii="Garamond" w:hAnsi="Garamond"/>
        </w:rPr>
        <w:t>of</w:t>
      </w:r>
      <w:r>
        <w:rPr>
          <w:rFonts w:ascii="Garamond" w:hAnsi="Garamond"/>
        </w:rPr>
        <w:t xml:space="preserve"> Angora,” BYU Library, Bringham Young University, 1916 Manuscript </w:t>
      </w:r>
    </w:p>
    <w:p w14:paraId="14F3A7D9" w14:textId="7C940B41" w:rsidR="00850D77" w:rsidRPr="00680558" w:rsidRDefault="00850D77" w:rsidP="00680558">
      <w:pPr>
        <w:ind w:firstLine="720"/>
      </w:pPr>
      <w:r>
        <w:rPr>
          <w:rFonts w:ascii="Garamond" w:hAnsi="Garamond"/>
        </w:rPr>
        <w:t xml:space="preserve">Published online, </w:t>
      </w:r>
      <w:hyperlink r:id="rId9" w:anchor="XII" w:history="1">
        <w:r w:rsidRPr="000615CB">
          <w:rPr>
            <w:rStyle w:val="Hyperlink"/>
            <w:rFonts w:ascii="Garamond" w:hAnsi="Garamond"/>
          </w:rPr>
          <w:t>https://net.lib.byu.edu/~rdh7/wwi/1915/bryce/a12.htm#XII</w:t>
        </w:r>
      </w:hyperlink>
      <w:r>
        <w:rPr>
          <w:rStyle w:val="Hyperlink"/>
          <w:rFonts w:ascii="Garamond" w:hAnsi="Garamond"/>
        </w:rPr>
        <w:t xml:space="preserve">. </w:t>
      </w:r>
    </w:p>
    <w:p w14:paraId="2DFD5E5E" w14:textId="650BEDBB" w:rsidR="00F56E17" w:rsidRPr="00AE2284" w:rsidRDefault="00F56E17" w:rsidP="00F56E17">
      <w:pPr>
        <w:pStyle w:val="Bibliography"/>
        <w:ind w:left="720" w:hanging="720"/>
        <w:rPr>
          <w:rFonts w:ascii="Garamond" w:hAnsi="Garamond"/>
          <w:noProof/>
        </w:rPr>
      </w:pPr>
      <w:r w:rsidRPr="00AE2284">
        <w:rPr>
          <w:rFonts w:ascii="Garamond" w:hAnsi="Garamond"/>
          <w:noProof/>
        </w:rPr>
        <w:t>Bryson, Thomas</w:t>
      </w:r>
      <w:r>
        <w:rPr>
          <w:rFonts w:ascii="Garamond" w:hAnsi="Garamond"/>
          <w:noProof/>
        </w:rPr>
        <w:t xml:space="preserve">, </w:t>
      </w:r>
      <w:r w:rsidRPr="00AE2284">
        <w:rPr>
          <w:rFonts w:ascii="Garamond" w:hAnsi="Garamond"/>
          <w:noProof/>
        </w:rPr>
        <w:t>"Admiral Mark L. Bristol, an Open-Door Diplomat in Turkey</w:t>
      </w:r>
      <w:r>
        <w:rPr>
          <w:rFonts w:ascii="Garamond" w:hAnsi="Garamond"/>
          <w:noProof/>
        </w:rPr>
        <w:t>,</w:t>
      </w:r>
      <w:r w:rsidRPr="00AE2284">
        <w:rPr>
          <w:rFonts w:ascii="Garamond" w:hAnsi="Garamond"/>
          <w:noProof/>
        </w:rPr>
        <w:t xml:space="preserve">" </w:t>
      </w:r>
      <w:r w:rsidRPr="00AE2284">
        <w:rPr>
          <w:rFonts w:ascii="Garamond" w:hAnsi="Garamond"/>
          <w:i/>
          <w:iCs/>
          <w:noProof/>
        </w:rPr>
        <w:t>International Journal of Middle East Studies</w:t>
      </w:r>
      <w:r w:rsidR="00D3667E">
        <w:rPr>
          <w:rFonts w:ascii="Garamond" w:hAnsi="Garamond"/>
          <w:noProof/>
        </w:rPr>
        <w:t xml:space="preserve"> 5, no 4.</w:t>
      </w:r>
      <w:r>
        <w:rPr>
          <w:rFonts w:ascii="Garamond" w:hAnsi="Garamond"/>
          <w:noProof/>
        </w:rPr>
        <w:t xml:space="preserve"> (</w:t>
      </w:r>
      <w:r w:rsidRPr="00AE2284">
        <w:rPr>
          <w:rFonts w:ascii="Garamond" w:hAnsi="Garamond"/>
          <w:noProof/>
        </w:rPr>
        <w:t>1974</w:t>
      </w:r>
      <w:r>
        <w:rPr>
          <w:rFonts w:ascii="Garamond" w:hAnsi="Garamond"/>
          <w:noProof/>
        </w:rPr>
        <w:t>):</w:t>
      </w:r>
      <w:r w:rsidRPr="00AE2284">
        <w:rPr>
          <w:rFonts w:ascii="Garamond" w:hAnsi="Garamond"/>
          <w:i/>
          <w:iCs/>
          <w:noProof/>
        </w:rPr>
        <w:t xml:space="preserve"> </w:t>
      </w:r>
      <w:r w:rsidRPr="00AE2284">
        <w:rPr>
          <w:rFonts w:ascii="Garamond" w:hAnsi="Garamond"/>
          <w:noProof/>
        </w:rPr>
        <w:t>450 - 467.</w:t>
      </w:r>
    </w:p>
    <w:p w14:paraId="6C19FB50" w14:textId="320B2E3C" w:rsidR="00F56E17" w:rsidRDefault="00F56E17" w:rsidP="00F56E17">
      <w:pPr>
        <w:pStyle w:val="Bibliography"/>
        <w:ind w:left="720" w:hanging="720"/>
        <w:rPr>
          <w:rFonts w:ascii="Garamond" w:hAnsi="Garamond"/>
          <w:noProof/>
        </w:rPr>
      </w:pPr>
      <w:r>
        <w:rPr>
          <w:rFonts w:ascii="Garamond" w:hAnsi="Garamond"/>
          <w:noProof/>
        </w:rPr>
        <w:t xml:space="preserve">Buckler, William. </w:t>
      </w:r>
      <w:r w:rsidRPr="00AE2284">
        <w:rPr>
          <w:rFonts w:ascii="Garamond" w:hAnsi="Garamond"/>
          <w:noProof/>
        </w:rPr>
        <w:t>Memorandum entitled “Memorandum on the Policy of the U.S. Relative to the Treaty with Turkey</w:t>
      </w:r>
      <w:r>
        <w:rPr>
          <w:rFonts w:ascii="Garamond" w:hAnsi="Garamond"/>
          <w:noProof/>
        </w:rPr>
        <w:t>,</w:t>
      </w:r>
      <w:r w:rsidRPr="00AE2284">
        <w:rPr>
          <w:rFonts w:ascii="Garamond" w:hAnsi="Garamond"/>
          <w:noProof/>
        </w:rPr>
        <w:t>” October 1919</w:t>
      </w:r>
      <w:r>
        <w:rPr>
          <w:rFonts w:ascii="Garamond" w:hAnsi="Garamond"/>
          <w:noProof/>
        </w:rPr>
        <w:t xml:space="preserve">, </w:t>
      </w:r>
      <w:r w:rsidRPr="00AE2284">
        <w:rPr>
          <w:rFonts w:ascii="Garamond" w:hAnsi="Garamond"/>
          <w:noProof/>
        </w:rPr>
        <w:t>William Yale Papers, University of New Hampshire</w:t>
      </w:r>
      <w:r>
        <w:rPr>
          <w:rFonts w:ascii="Garamond" w:hAnsi="Garamond"/>
          <w:noProof/>
        </w:rPr>
        <w:t xml:space="preserve">, Durham, NH. </w:t>
      </w:r>
    </w:p>
    <w:p w14:paraId="2C93ECC6" w14:textId="77777777" w:rsidR="00F4400C" w:rsidRDefault="00F4400C" w:rsidP="00F4400C">
      <w:pPr>
        <w:rPr>
          <w:rFonts w:ascii="Garamond" w:hAnsi="Garamond"/>
        </w:rPr>
      </w:pPr>
      <w:r w:rsidRPr="00F4400C">
        <w:rPr>
          <w:rFonts w:ascii="Garamond" w:hAnsi="Garamond"/>
        </w:rPr>
        <w:t xml:space="preserve">China Power Team . “How Much Trade Transits the South China Sea?” ChinaPower Project, </w:t>
      </w:r>
    </w:p>
    <w:p w14:paraId="71F9902E" w14:textId="2BCB7DFB" w:rsidR="00F4400C" w:rsidRPr="00680558" w:rsidRDefault="00F4400C" w:rsidP="00680558">
      <w:pPr>
        <w:ind w:firstLine="720"/>
        <w:rPr>
          <w:rFonts w:ascii="Garamond" w:hAnsi="Garamond"/>
        </w:rPr>
      </w:pPr>
      <w:r w:rsidRPr="00F4400C">
        <w:rPr>
          <w:rFonts w:ascii="Garamond" w:hAnsi="Garamond"/>
        </w:rPr>
        <w:t>January 25, 2021. https://chinapower.csis.org/much-trade-transits-south-china-sea/. </w:t>
      </w:r>
    </w:p>
    <w:p w14:paraId="3BCB0A9F" w14:textId="10D6404B" w:rsidR="00F56E17" w:rsidRDefault="00F56E17" w:rsidP="00F56E17">
      <w:pPr>
        <w:pStyle w:val="Bibliography"/>
        <w:ind w:left="720" w:hanging="720"/>
        <w:rPr>
          <w:rFonts w:ascii="Garamond" w:hAnsi="Garamond"/>
          <w:noProof/>
        </w:rPr>
      </w:pPr>
      <w:r w:rsidRPr="00AE2284">
        <w:rPr>
          <w:rFonts w:ascii="Garamond" w:hAnsi="Garamond"/>
          <w:noProof/>
        </w:rPr>
        <w:t xml:space="preserve">Crane, Charles. </w:t>
      </w:r>
      <w:r w:rsidR="00BA1A45">
        <w:rPr>
          <w:rFonts w:ascii="Garamond" w:hAnsi="Garamond"/>
          <w:noProof/>
        </w:rPr>
        <w:t xml:space="preserve">Transcript of unpublished memoir titled </w:t>
      </w:r>
      <w:r w:rsidRPr="00AE2284">
        <w:rPr>
          <w:rFonts w:ascii="Garamond" w:hAnsi="Garamond"/>
          <w:noProof/>
        </w:rPr>
        <w:t>"</w:t>
      </w:r>
      <w:r w:rsidRPr="00BA1A45">
        <w:rPr>
          <w:rFonts w:ascii="Garamond" w:hAnsi="Garamond"/>
          <w:i/>
          <w:iCs/>
          <w:noProof/>
        </w:rPr>
        <w:t>Memoirs</w:t>
      </w:r>
      <w:r w:rsidRPr="00AE2284">
        <w:rPr>
          <w:rFonts w:ascii="Garamond" w:hAnsi="Garamond"/>
          <w:noProof/>
        </w:rPr>
        <w:t xml:space="preserve"> ." Unpublished, </w:t>
      </w:r>
      <w:r w:rsidR="00BA1A45">
        <w:rPr>
          <w:rFonts w:ascii="Garamond" w:hAnsi="Garamond"/>
          <w:noProof/>
        </w:rPr>
        <w:t>Charles Crane Papers. Rare Books and Manuscripts Library, Columbia University, New York, NY</w:t>
      </w:r>
      <w:r w:rsidRPr="00AE2284">
        <w:rPr>
          <w:rFonts w:ascii="Garamond" w:hAnsi="Garamond"/>
          <w:noProof/>
        </w:rPr>
        <w:t>.</w:t>
      </w:r>
    </w:p>
    <w:p w14:paraId="0507B8DF" w14:textId="77777777" w:rsidR="00660C33" w:rsidRDefault="00E8427E" w:rsidP="00E8427E">
      <w:pPr>
        <w:rPr>
          <w:rFonts w:ascii="Garamond" w:hAnsi="Garamond"/>
        </w:rPr>
      </w:pPr>
      <w:r w:rsidRPr="004007D6">
        <w:rPr>
          <w:rFonts w:ascii="Garamond" w:hAnsi="Garamond"/>
        </w:rPr>
        <w:t>Crane, Charles</w:t>
      </w:r>
      <w:r>
        <w:rPr>
          <w:rFonts w:ascii="Garamond" w:hAnsi="Garamond"/>
        </w:rPr>
        <w:t>.</w:t>
      </w:r>
      <w:r w:rsidRPr="004007D6">
        <w:rPr>
          <w:rFonts w:ascii="Garamond" w:hAnsi="Garamond"/>
        </w:rPr>
        <w:t xml:space="preserve"> Letter </w:t>
      </w:r>
      <w:r>
        <w:rPr>
          <w:rFonts w:ascii="Garamond" w:hAnsi="Garamond"/>
        </w:rPr>
        <w:t>“</w:t>
      </w:r>
      <w:r w:rsidRPr="004007D6">
        <w:rPr>
          <w:rFonts w:ascii="Garamond" w:hAnsi="Garamond"/>
        </w:rPr>
        <w:t xml:space="preserve">from Charles Richard Crane to Woodrow Wilson,” July 10, 1919, Woodrow </w:t>
      </w:r>
    </w:p>
    <w:p w14:paraId="066D26D6" w14:textId="3B7EA834" w:rsidR="00E8427E" w:rsidRPr="00E8427E" w:rsidRDefault="00E8427E" w:rsidP="00660C33">
      <w:pPr>
        <w:ind w:firstLine="720"/>
        <w:rPr>
          <w:rFonts w:ascii="Garamond" w:hAnsi="Garamond"/>
        </w:rPr>
      </w:pPr>
      <w:r w:rsidRPr="004007D6">
        <w:rPr>
          <w:rFonts w:ascii="Garamond" w:hAnsi="Garamond"/>
        </w:rPr>
        <w:t xml:space="preserve">Wilson Archives, University of Virginia, Charlottesville, VA. </w:t>
      </w:r>
    </w:p>
    <w:p w14:paraId="644CF96B" w14:textId="77777777" w:rsidR="0020225C" w:rsidRDefault="00C256AE" w:rsidP="0020225C">
      <w:pPr>
        <w:rPr>
          <w:rFonts w:ascii="Garamond" w:hAnsi="Garamond"/>
          <w:i/>
          <w:iCs/>
        </w:rPr>
      </w:pPr>
      <w:r w:rsidRPr="004C657B">
        <w:rPr>
          <w:rFonts w:ascii="Garamond" w:hAnsi="Garamond"/>
        </w:rPr>
        <w:t>Colby, Bainbridge. Correspondence between “</w:t>
      </w:r>
      <w:r w:rsidRPr="004C657B">
        <w:rPr>
          <w:rFonts w:ascii="Garamond" w:hAnsi="Garamond"/>
          <w:i/>
          <w:iCs/>
        </w:rPr>
        <w:t xml:space="preserve">The Secretary of State to the Ambassador in Great </w:t>
      </w:r>
    </w:p>
    <w:p w14:paraId="32782EEA" w14:textId="21865652" w:rsidR="00C256AE" w:rsidRDefault="00C256AE" w:rsidP="0020225C">
      <w:pPr>
        <w:ind w:left="720"/>
        <w:rPr>
          <w:rFonts w:ascii="Garamond" w:hAnsi="Garamond"/>
          <w:color w:val="333333"/>
          <w:shd w:val="clear" w:color="auto" w:fill="FFFFFF"/>
        </w:rPr>
      </w:pPr>
      <w:r w:rsidRPr="004C657B">
        <w:rPr>
          <w:rFonts w:ascii="Garamond" w:hAnsi="Garamond"/>
          <w:i/>
          <w:iCs/>
        </w:rPr>
        <w:t>Britain</w:t>
      </w:r>
      <w:r w:rsidRPr="004C657B">
        <w:rPr>
          <w:rFonts w:ascii="Garamond" w:hAnsi="Garamond"/>
        </w:rPr>
        <w:t> (</w:t>
      </w:r>
      <w:r w:rsidRPr="004C657B">
        <w:rPr>
          <w:rFonts w:ascii="Garamond" w:hAnsi="Garamond"/>
          <w:i/>
          <w:iCs/>
        </w:rPr>
        <w:t>Davis</w:t>
      </w:r>
      <w:r w:rsidRPr="004C657B">
        <w:rPr>
          <w:rFonts w:ascii="Garamond" w:hAnsi="Garamond"/>
        </w:rPr>
        <w:t xml:space="preserve">),” July 26, 1920, Volume II, 1920 Papers relating to the Foreign Relations of the United States, Document 548, </w:t>
      </w:r>
      <w:r w:rsidRPr="004C657B">
        <w:rPr>
          <w:rFonts w:ascii="Garamond" w:hAnsi="Garamond"/>
          <w:color w:val="333333"/>
          <w:shd w:val="clear" w:color="auto" w:fill="FFFFFF"/>
        </w:rPr>
        <w:t xml:space="preserve">800.6363/143, </w:t>
      </w:r>
      <w:hyperlink r:id="rId10" w:history="1">
        <w:r w:rsidR="00FB5F4C" w:rsidRPr="00F96A48">
          <w:rPr>
            <w:rStyle w:val="Hyperlink"/>
            <w:rFonts w:ascii="Garamond" w:hAnsi="Garamond"/>
            <w:shd w:val="clear" w:color="auto" w:fill="FFFFFF"/>
          </w:rPr>
          <w:t>https://history.state.gov/historicaldocuments/frus1920v02/d548</w:t>
        </w:r>
      </w:hyperlink>
    </w:p>
    <w:p w14:paraId="340FE1EF" w14:textId="77777777" w:rsidR="00BF6BAA" w:rsidRDefault="00FB5F4C">
      <w:pPr>
        <w:rPr>
          <w:rFonts w:ascii="Garamond" w:hAnsi="Garamond"/>
          <w:i/>
          <w:iCs/>
        </w:rPr>
      </w:pPr>
      <w:r>
        <w:rPr>
          <w:rFonts w:ascii="Garamond" w:hAnsi="Garamond"/>
        </w:rPr>
        <w:t xml:space="preserve">Conlin, Jonathan. </w:t>
      </w:r>
      <w:r w:rsidRPr="00680558">
        <w:rPr>
          <w:rFonts w:ascii="Garamond" w:hAnsi="Garamond"/>
          <w:i/>
          <w:iCs/>
        </w:rPr>
        <w:t>Mr Five Per Cent: The</w:t>
      </w:r>
      <w:r>
        <w:rPr>
          <w:rFonts w:ascii="Garamond" w:hAnsi="Garamond"/>
          <w:i/>
          <w:iCs/>
        </w:rPr>
        <w:t xml:space="preserve"> M</w:t>
      </w:r>
      <w:r w:rsidRPr="00680558">
        <w:rPr>
          <w:rFonts w:ascii="Garamond" w:hAnsi="Garamond"/>
          <w:i/>
          <w:iCs/>
        </w:rPr>
        <w:t xml:space="preserve">any </w:t>
      </w:r>
      <w:r>
        <w:rPr>
          <w:rFonts w:ascii="Garamond" w:hAnsi="Garamond"/>
          <w:i/>
          <w:iCs/>
        </w:rPr>
        <w:t>L</w:t>
      </w:r>
      <w:r w:rsidRPr="00680558">
        <w:rPr>
          <w:rFonts w:ascii="Garamond" w:hAnsi="Garamond"/>
          <w:i/>
          <w:iCs/>
        </w:rPr>
        <w:t xml:space="preserve">ives of Calouste Gulbenkian, the </w:t>
      </w:r>
      <w:r>
        <w:rPr>
          <w:rFonts w:ascii="Garamond" w:hAnsi="Garamond"/>
          <w:i/>
          <w:iCs/>
        </w:rPr>
        <w:t>W</w:t>
      </w:r>
      <w:r w:rsidRPr="00680558">
        <w:rPr>
          <w:rFonts w:ascii="Garamond" w:hAnsi="Garamond"/>
          <w:i/>
          <w:iCs/>
        </w:rPr>
        <w:t xml:space="preserve">orld’s </w:t>
      </w:r>
      <w:r>
        <w:rPr>
          <w:rFonts w:ascii="Garamond" w:hAnsi="Garamond"/>
          <w:i/>
          <w:iCs/>
        </w:rPr>
        <w:t>R</w:t>
      </w:r>
      <w:r w:rsidRPr="00680558">
        <w:rPr>
          <w:rFonts w:ascii="Garamond" w:hAnsi="Garamond"/>
          <w:i/>
          <w:iCs/>
        </w:rPr>
        <w:t>ichest man</w:t>
      </w:r>
      <w:r>
        <w:rPr>
          <w:rFonts w:ascii="Garamond" w:hAnsi="Garamond"/>
          <w:i/>
          <w:iCs/>
        </w:rPr>
        <w:t xml:space="preserve">. </w:t>
      </w:r>
    </w:p>
    <w:p w14:paraId="1A75AD5A" w14:textId="7C110593" w:rsidR="00FB5F4C" w:rsidRPr="00680558" w:rsidRDefault="00FB5F4C" w:rsidP="00BF6BAA">
      <w:pPr>
        <w:ind w:firstLine="720"/>
        <w:rPr>
          <w:rFonts w:ascii="Garamond" w:hAnsi="Garamond"/>
          <w:b/>
          <w:bCs/>
        </w:rPr>
      </w:pPr>
      <w:r>
        <w:rPr>
          <w:rFonts w:ascii="Garamond" w:hAnsi="Garamond"/>
        </w:rPr>
        <w:t xml:space="preserve">London: Profile Books (2019). </w:t>
      </w:r>
    </w:p>
    <w:p w14:paraId="77635897" w14:textId="4CBAE7CA" w:rsidR="00F56E17" w:rsidRDefault="00F56E17" w:rsidP="00F56E17">
      <w:pPr>
        <w:pStyle w:val="Bibliography"/>
        <w:ind w:left="720" w:hanging="720"/>
        <w:rPr>
          <w:rFonts w:ascii="Garamond" w:hAnsi="Garamond"/>
          <w:noProof/>
        </w:rPr>
      </w:pPr>
      <w:r w:rsidRPr="00AE2284">
        <w:rPr>
          <w:rFonts w:ascii="Garamond" w:hAnsi="Garamond"/>
          <w:noProof/>
        </w:rPr>
        <w:t xml:space="preserve">Dahl, E. J. </w:t>
      </w:r>
      <w:r w:rsidRPr="00AE2284">
        <w:rPr>
          <w:rFonts w:ascii="Garamond" w:hAnsi="Garamond"/>
          <w:i/>
          <w:iCs/>
          <w:noProof/>
        </w:rPr>
        <w:t>Naval Innovation: From Coal to Oil.</w:t>
      </w:r>
      <w:r w:rsidRPr="00AE2284">
        <w:rPr>
          <w:rFonts w:ascii="Garamond" w:hAnsi="Garamond"/>
          <w:noProof/>
        </w:rPr>
        <w:t xml:space="preserve"> Washington, D.C: Institute for National Strategic Studies</w:t>
      </w:r>
      <w:r>
        <w:rPr>
          <w:rFonts w:ascii="Garamond" w:hAnsi="Garamond"/>
          <w:noProof/>
        </w:rPr>
        <w:t xml:space="preserve"> (</w:t>
      </w:r>
      <w:r w:rsidRPr="00AE2284">
        <w:rPr>
          <w:rFonts w:ascii="Garamond" w:hAnsi="Garamond"/>
          <w:noProof/>
        </w:rPr>
        <w:t>2001</w:t>
      </w:r>
      <w:r>
        <w:rPr>
          <w:rFonts w:ascii="Garamond" w:hAnsi="Garamond"/>
          <w:noProof/>
        </w:rPr>
        <w:t>).</w:t>
      </w:r>
    </w:p>
    <w:p w14:paraId="4EBC6B38" w14:textId="38DA41E0" w:rsidR="005D56FC" w:rsidRDefault="005D56FC" w:rsidP="00F56E17">
      <w:pPr>
        <w:pStyle w:val="Bibliography"/>
        <w:ind w:left="720" w:hanging="720"/>
        <w:rPr>
          <w:rStyle w:val="Hyperlink"/>
          <w:rFonts w:ascii="Garamond" w:hAnsi="Garamond"/>
          <w:noProof/>
        </w:rPr>
      </w:pPr>
      <w:r>
        <w:rPr>
          <w:rFonts w:ascii="Garamond" w:hAnsi="Garamond"/>
          <w:noProof/>
        </w:rPr>
        <w:t xml:space="preserve">Davis, John. </w:t>
      </w:r>
      <w:r w:rsidRPr="005D56FC">
        <w:rPr>
          <w:rFonts w:ascii="Garamond" w:hAnsi="Garamond"/>
          <w:noProof/>
        </w:rPr>
        <w:t xml:space="preserve">Correspondence between “The Secretary of State to the Ambassador in Great Britain (Davis),” July 26, 1920, Volume II, 1920 Papers Relating to the Foreign Relations of the United States, Document 548, 800.6363/143, </w:t>
      </w:r>
      <w:hyperlink r:id="rId11" w:history="1">
        <w:r w:rsidRPr="005D56FC">
          <w:rPr>
            <w:rStyle w:val="Hyperlink"/>
            <w:rFonts w:ascii="Garamond" w:hAnsi="Garamond"/>
            <w:noProof/>
          </w:rPr>
          <w:t>https://history.state.gov/historicaldocuments/frus1920v02/d548</w:t>
        </w:r>
      </w:hyperlink>
    </w:p>
    <w:p w14:paraId="66AB52CD" w14:textId="77777777" w:rsidR="00E7426A" w:rsidRDefault="00E7426A" w:rsidP="00E7426A">
      <w:pPr>
        <w:rPr>
          <w:rFonts w:ascii="Garamond" w:hAnsi="Garamond"/>
          <w:i/>
          <w:iCs/>
        </w:rPr>
      </w:pPr>
      <w:r w:rsidRPr="00680558">
        <w:rPr>
          <w:rFonts w:ascii="Garamond" w:hAnsi="Garamond"/>
        </w:rPr>
        <w:t xml:space="preserve">DeNovo, John A. “Petroleum and the United States Navy Before World War I,” </w:t>
      </w:r>
      <w:r w:rsidRPr="00680558">
        <w:rPr>
          <w:rFonts w:ascii="Garamond" w:hAnsi="Garamond"/>
          <w:i/>
          <w:iCs/>
        </w:rPr>
        <w:t xml:space="preserve">The Mississippi </w:t>
      </w:r>
    </w:p>
    <w:p w14:paraId="281DF628" w14:textId="5981E141" w:rsidR="00E7426A" w:rsidRPr="00680558" w:rsidRDefault="00E7426A" w:rsidP="00680558">
      <w:pPr>
        <w:ind w:firstLine="720"/>
        <w:rPr>
          <w:rFonts w:ascii="Garamond" w:hAnsi="Garamond"/>
        </w:rPr>
      </w:pPr>
      <w:r w:rsidRPr="00680558">
        <w:rPr>
          <w:rFonts w:ascii="Garamond" w:hAnsi="Garamond"/>
          <w:i/>
          <w:iCs/>
        </w:rPr>
        <w:t xml:space="preserve">Valley Historical Review </w:t>
      </w:r>
      <w:r w:rsidRPr="00680558">
        <w:rPr>
          <w:rFonts w:ascii="Garamond" w:hAnsi="Garamond"/>
        </w:rPr>
        <w:t>41, no . 4 (1955): 641 - 656</w:t>
      </w:r>
    </w:p>
    <w:p w14:paraId="394A8919" w14:textId="1BCE270A" w:rsidR="00F56E17" w:rsidRPr="00AE2284" w:rsidRDefault="00F56E17" w:rsidP="00F56E17">
      <w:pPr>
        <w:pStyle w:val="Bibliography"/>
        <w:ind w:left="720" w:hanging="720"/>
        <w:rPr>
          <w:rFonts w:ascii="Garamond" w:hAnsi="Garamond"/>
          <w:noProof/>
        </w:rPr>
      </w:pPr>
      <w:r w:rsidRPr="00AE2284">
        <w:rPr>
          <w:rFonts w:ascii="Garamond" w:hAnsi="Garamond"/>
          <w:noProof/>
        </w:rPr>
        <w:t>DeNovo, John A. "The Movement for an Aggressive American Oil Policy Abroad, 1918-1920</w:t>
      </w:r>
      <w:r>
        <w:rPr>
          <w:rFonts w:ascii="Garamond" w:hAnsi="Garamond"/>
          <w:noProof/>
        </w:rPr>
        <w:t>,</w:t>
      </w:r>
      <w:r w:rsidRPr="00AE2284">
        <w:rPr>
          <w:rFonts w:ascii="Garamond" w:hAnsi="Garamond"/>
          <w:noProof/>
        </w:rPr>
        <w:t xml:space="preserve">" </w:t>
      </w:r>
      <w:r w:rsidRPr="00AE2284">
        <w:rPr>
          <w:rFonts w:ascii="Garamond" w:hAnsi="Garamond"/>
          <w:i/>
          <w:iCs/>
          <w:noProof/>
        </w:rPr>
        <w:t>The American Historical Review</w:t>
      </w:r>
      <w:r w:rsidR="00A91D8A">
        <w:rPr>
          <w:rFonts w:ascii="Garamond" w:hAnsi="Garamond"/>
          <w:noProof/>
        </w:rPr>
        <w:t xml:space="preserve"> 61, no. 4</w:t>
      </w:r>
      <w:r>
        <w:rPr>
          <w:rFonts w:ascii="Garamond" w:hAnsi="Garamond"/>
          <w:noProof/>
        </w:rPr>
        <w:t xml:space="preserve"> (</w:t>
      </w:r>
      <w:r w:rsidRPr="00AE2284">
        <w:rPr>
          <w:rFonts w:ascii="Garamond" w:hAnsi="Garamond"/>
          <w:noProof/>
        </w:rPr>
        <w:t>1956</w:t>
      </w:r>
      <w:r>
        <w:rPr>
          <w:rFonts w:ascii="Garamond" w:hAnsi="Garamond"/>
          <w:noProof/>
        </w:rPr>
        <w:t xml:space="preserve">): </w:t>
      </w:r>
      <w:r w:rsidRPr="00AE2284">
        <w:rPr>
          <w:rFonts w:ascii="Garamond" w:hAnsi="Garamond"/>
          <w:i/>
          <w:iCs/>
          <w:noProof/>
        </w:rPr>
        <w:t xml:space="preserve"> </w:t>
      </w:r>
      <w:r w:rsidRPr="00AE2284">
        <w:rPr>
          <w:rFonts w:ascii="Garamond" w:hAnsi="Garamond"/>
          <w:noProof/>
        </w:rPr>
        <w:t>854 - 876.</w:t>
      </w:r>
    </w:p>
    <w:p w14:paraId="7B7A61D0"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Hasau, C. n.d. </w:t>
      </w:r>
      <w:r w:rsidRPr="00AE2284">
        <w:rPr>
          <w:rFonts w:ascii="Garamond" w:hAnsi="Garamond"/>
          <w:i/>
          <w:iCs/>
          <w:noProof/>
        </w:rPr>
        <w:t>The Siege of Kut in Number .</w:t>
      </w:r>
      <w:r>
        <w:rPr>
          <w:rFonts w:ascii="Garamond" w:hAnsi="Garamond"/>
          <w:noProof/>
        </w:rPr>
        <w:t xml:space="preserve"> </w:t>
      </w:r>
      <w:r w:rsidRPr="00AE2284">
        <w:rPr>
          <w:rFonts w:ascii="Garamond" w:hAnsi="Garamond"/>
          <w:noProof/>
        </w:rPr>
        <w:t>Accessed 2020. https://interactive.aljazeera.com/ajt/2016/kutul-amare/en/credits.html.</w:t>
      </w:r>
    </w:p>
    <w:p w14:paraId="210771AF" w14:textId="09E1A062" w:rsidR="00F56E17" w:rsidRDefault="00F56E17" w:rsidP="00F56E17">
      <w:pPr>
        <w:pStyle w:val="Bibliography"/>
        <w:ind w:left="720" w:hanging="720"/>
        <w:rPr>
          <w:rFonts w:ascii="Garamond" w:hAnsi="Garamond"/>
          <w:noProof/>
        </w:rPr>
      </w:pPr>
      <w:r>
        <w:rPr>
          <w:rFonts w:ascii="Garamond" w:hAnsi="Garamond"/>
          <w:noProof/>
        </w:rPr>
        <w:t xml:space="preserve"> </w:t>
      </w:r>
      <w:hyperlink r:id="rId12" w:history="1">
        <w:r w:rsidRPr="000615CB">
          <w:rPr>
            <w:rStyle w:val="Hyperlink"/>
            <w:rFonts w:ascii="Garamond" w:hAnsi="Garamond"/>
            <w:noProof/>
          </w:rPr>
          <w:t>https://history.state.gov/historicaldocuments/frus1918Supp01v01/d543</w:t>
        </w:r>
      </w:hyperlink>
    </w:p>
    <w:p w14:paraId="2201D178" w14:textId="77777777" w:rsidR="002D2DC9" w:rsidRDefault="002D2DC9" w:rsidP="002D2DC9">
      <w:pPr>
        <w:rPr>
          <w:rFonts w:ascii="Garamond" w:hAnsi="Garamond"/>
          <w:i/>
          <w:iCs/>
        </w:rPr>
      </w:pPr>
      <w:r w:rsidRPr="00680558">
        <w:rPr>
          <w:rFonts w:ascii="Garamond" w:hAnsi="Garamond"/>
        </w:rPr>
        <w:t>Hartman, Geoffrey, and Jane Nakano. Rep. </w:t>
      </w:r>
      <w:r w:rsidRPr="00680558">
        <w:rPr>
          <w:rFonts w:ascii="Garamond" w:hAnsi="Garamond"/>
          <w:i/>
          <w:iCs/>
        </w:rPr>
        <w:t xml:space="preserve">The Impact of Regional Maritime Disputes on Energy Security in </w:t>
      </w:r>
    </w:p>
    <w:p w14:paraId="56FCE2A6" w14:textId="6631DD40" w:rsidR="002D2DC9" w:rsidRPr="00680558" w:rsidRDefault="002D2DC9" w:rsidP="00680558">
      <w:pPr>
        <w:ind w:firstLine="720"/>
        <w:rPr>
          <w:rFonts w:ascii="Garamond" w:hAnsi="Garamond"/>
        </w:rPr>
      </w:pPr>
      <w:r w:rsidRPr="00680558">
        <w:rPr>
          <w:rFonts w:ascii="Garamond" w:hAnsi="Garamond"/>
          <w:i/>
          <w:iCs/>
        </w:rPr>
        <w:t>Asia</w:t>
      </w:r>
      <w:r w:rsidRPr="00680558">
        <w:rPr>
          <w:rFonts w:ascii="Garamond" w:hAnsi="Garamond"/>
        </w:rPr>
        <w:t>. Washington, D.C. : Center For Strategic and International Studies , 2017. </w:t>
      </w:r>
    </w:p>
    <w:p w14:paraId="4E62A7F5" w14:textId="77777777" w:rsidR="00466B6D" w:rsidRDefault="00850D77" w:rsidP="00850D77">
      <w:pPr>
        <w:rPr>
          <w:rFonts w:ascii="Garamond" w:hAnsi="Garamond"/>
        </w:rPr>
      </w:pPr>
      <w:r w:rsidRPr="00680558">
        <w:rPr>
          <w:rFonts w:ascii="Garamond" w:hAnsi="Garamond"/>
        </w:rPr>
        <w:t>History</w:t>
      </w:r>
      <w:r>
        <w:rPr>
          <w:rFonts w:ascii="Garamond" w:hAnsi="Garamond"/>
        </w:rPr>
        <w:t>.</w:t>
      </w:r>
      <w:r w:rsidRPr="00680558">
        <w:rPr>
          <w:rFonts w:ascii="Garamond" w:hAnsi="Garamond"/>
        </w:rPr>
        <w:t xml:space="preserve"> “Spanish </w:t>
      </w:r>
      <w:r>
        <w:rPr>
          <w:rFonts w:ascii="Garamond" w:hAnsi="Garamond"/>
        </w:rPr>
        <w:t xml:space="preserve">– American War.” History. A &amp; E Publisher Networks. 2020. </w:t>
      </w:r>
    </w:p>
    <w:p w14:paraId="14B3BD8B" w14:textId="04991BE8" w:rsidR="00850D77" w:rsidRDefault="009B18F2" w:rsidP="00680558">
      <w:pPr>
        <w:ind w:firstLine="720"/>
        <w:rPr>
          <w:rFonts w:ascii="Garamond" w:hAnsi="Garamond"/>
        </w:rPr>
      </w:pPr>
      <w:hyperlink r:id="rId13" w:history="1">
        <w:r w:rsidR="00C224D4" w:rsidRPr="00C224D4">
          <w:rPr>
            <w:rStyle w:val="Hyperlink"/>
            <w:rFonts w:ascii="Garamond" w:hAnsi="Garamond"/>
          </w:rPr>
          <w:t>https://www.history.com/topics/early-20th-century-us/spanish-american-war</w:t>
        </w:r>
      </w:hyperlink>
      <w:r w:rsidR="00850D77">
        <w:rPr>
          <w:rFonts w:ascii="Garamond" w:hAnsi="Garamond"/>
        </w:rPr>
        <w:t xml:space="preserve">  </w:t>
      </w:r>
    </w:p>
    <w:p w14:paraId="06D82237" w14:textId="77777777" w:rsidR="00466B6D" w:rsidRDefault="009226D5" w:rsidP="00850D77">
      <w:pPr>
        <w:rPr>
          <w:rFonts w:ascii="Garamond" w:hAnsi="Garamond"/>
        </w:rPr>
      </w:pPr>
      <w:r>
        <w:rPr>
          <w:rFonts w:ascii="Garamond" w:hAnsi="Garamond"/>
        </w:rPr>
        <w:t>Howard, Harry.</w:t>
      </w:r>
      <w:r w:rsidRPr="00956F18">
        <w:rPr>
          <w:rFonts w:ascii="Garamond" w:hAnsi="Garamond"/>
        </w:rPr>
        <w:t xml:space="preserve"> </w:t>
      </w:r>
      <w:r>
        <w:rPr>
          <w:rFonts w:ascii="Garamond" w:hAnsi="Garamond"/>
          <w:i/>
          <w:iCs/>
        </w:rPr>
        <w:t xml:space="preserve">The King – Crane Commission: An American Inquiry in the Middle East. </w:t>
      </w:r>
      <w:r>
        <w:rPr>
          <w:rFonts w:ascii="Garamond" w:hAnsi="Garamond"/>
        </w:rPr>
        <w:t xml:space="preserve">Beirut: Khayat, </w:t>
      </w:r>
    </w:p>
    <w:p w14:paraId="08F9560E" w14:textId="74C363CA" w:rsidR="009226D5" w:rsidRPr="00680558" w:rsidRDefault="009226D5" w:rsidP="00680558">
      <w:pPr>
        <w:ind w:firstLine="720"/>
        <w:rPr>
          <w:rFonts w:ascii="Garamond" w:hAnsi="Garamond"/>
        </w:rPr>
      </w:pPr>
      <w:r>
        <w:rPr>
          <w:rFonts w:ascii="Garamond" w:hAnsi="Garamond"/>
        </w:rPr>
        <w:lastRenderedPageBreak/>
        <w:t>1963.</w:t>
      </w:r>
    </w:p>
    <w:p w14:paraId="35A109A3"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Hughes, M. </w:t>
      </w:r>
      <w:r w:rsidRPr="00AE2284">
        <w:rPr>
          <w:rFonts w:ascii="Garamond" w:hAnsi="Garamond"/>
          <w:i/>
          <w:iCs/>
          <w:noProof/>
        </w:rPr>
        <w:t>Allenby and British Strategy in the Middle East, 1917 - 1919 .</w:t>
      </w:r>
      <w:r w:rsidRPr="00AE2284">
        <w:rPr>
          <w:rFonts w:ascii="Garamond" w:hAnsi="Garamond"/>
          <w:noProof/>
        </w:rPr>
        <w:t xml:space="preserve"> London: Cass</w:t>
      </w:r>
      <w:r>
        <w:rPr>
          <w:rFonts w:ascii="Garamond" w:hAnsi="Garamond"/>
          <w:noProof/>
        </w:rPr>
        <w:t xml:space="preserve">, </w:t>
      </w:r>
      <w:r w:rsidRPr="00AE2284">
        <w:rPr>
          <w:rFonts w:ascii="Garamond" w:hAnsi="Garamond"/>
          <w:noProof/>
        </w:rPr>
        <w:t>1999</w:t>
      </w:r>
      <w:r>
        <w:rPr>
          <w:rFonts w:ascii="Garamond" w:hAnsi="Garamond"/>
          <w:noProof/>
        </w:rPr>
        <w:t xml:space="preserve">. </w:t>
      </w:r>
    </w:p>
    <w:p w14:paraId="6E5A1BE5" w14:textId="2414BCC3" w:rsidR="001D3D87" w:rsidRPr="001D3D87" w:rsidRDefault="001D3D87" w:rsidP="001D3D87">
      <w:pPr>
        <w:pStyle w:val="Bibliography"/>
        <w:ind w:left="720" w:hanging="720"/>
        <w:rPr>
          <w:rFonts w:ascii="Garamond" w:hAnsi="Garamond"/>
          <w:noProof/>
        </w:rPr>
      </w:pPr>
      <w:r>
        <w:rPr>
          <w:rFonts w:ascii="Garamond" w:hAnsi="Garamond"/>
          <w:noProof/>
        </w:rPr>
        <w:t>Jones, Gareth. “</w:t>
      </w:r>
      <w:r w:rsidRPr="001D3D87">
        <w:rPr>
          <w:rFonts w:ascii="Garamond" w:hAnsi="Garamond"/>
          <w:noProof/>
        </w:rPr>
        <w:t>The British Government and the Oil Companies 1912-1924: The Search for an Oil Policy</w:t>
      </w:r>
      <w:r>
        <w:rPr>
          <w:rFonts w:ascii="Garamond" w:hAnsi="Garamond"/>
          <w:noProof/>
        </w:rPr>
        <w:t xml:space="preserve">,” </w:t>
      </w:r>
      <w:r>
        <w:rPr>
          <w:rFonts w:ascii="Garamond" w:hAnsi="Garamond"/>
          <w:i/>
          <w:iCs/>
          <w:noProof/>
        </w:rPr>
        <w:t xml:space="preserve">The Historical Journal </w:t>
      </w:r>
      <w:r>
        <w:rPr>
          <w:rFonts w:ascii="Garamond" w:hAnsi="Garamond"/>
          <w:noProof/>
        </w:rPr>
        <w:t xml:space="preserve">20, no. 3 (1977): 647 – 672. </w:t>
      </w:r>
    </w:p>
    <w:p w14:paraId="7DFB7B7E" w14:textId="2262DDB5" w:rsidR="00F56E17" w:rsidRDefault="00F56E17" w:rsidP="00F56E17">
      <w:pPr>
        <w:pStyle w:val="Bibliography"/>
        <w:ind w:left="720" w:hanging="720"/>
        <w:rPr>
          <w:rFonts w:ascii="Garamond" w:hAnsi="Garamond"/>
          <w:noProof/>
        </w:rPr>
      </w:pPr>
      <w:r w:rsidRPr="00AE2284">
        <w:rPr>
          <w:rFonts w:ascii="Garamond" w:hAnsi="Garamond"/>
          <w:noProof/>
        </w:rPr>
        <w:t>Kent, M</w:t>
      </w:r>
      <w:r>
        <w:rPr>
          <w:rFonts w:ascii="Garamond" w:hAnsi="Garamond"/>
          <w:noProof/>
        </w:rPr>
        <w:t>arian</w:t>
      </w:r>
      <w:r w:rsidRPr="00AE2284">
        <w:rPr>
          <w:rFonts w:ascii="Garamond" w:hAnsi="Garamond"/>
          <w:noProof/>
        </w:rPr>
        <w:t xml:space="preserve">. </w:t>
      </w:r>
      <w:r w:rsidRPr="00AE2284">
        <w:rPr>
          <w:rFonts w:ascii="Garamond" w:hAnsi="Garamond"/>
          <w:i/>
          <w:iCs/>
          <w:noProof/>
        </w:rPr>
        <w:t>Oil and Empire: British Policy and Mesopotamian Oil 1900 - 1920 .</w:t>
      </w:r>
      <w:r w:rsidRPr="00AE2284">
        <w:rPr>
          <w:rFonts w:ascii="Garamond" w:hAnsi="Garamond"/>
          <w:noProof/>
        </w:rPr>
        <w:t xml:space="preserve"> London: MacMillan</w:t>
      </w:r>
      <w:r>
        <w:rPr>
          <w:rFonts w:ascii="Garamond" w:hAnsi="Garamond"/>
          <w:noProof/>
        </w:rPr>
        <w:t xml:space="preserve">, </w:t>
      </w:r>
      <w:r w:rsidRPr="00AE2284">
        <w:rPr>
          <w:rFonts w:ascii="Garamond" w:hAnsi="Garamond"/>
          <w:noProof/>
        </w:rPr>
        <w:t>1976.</w:t>
      </w:r>
    </w:p>
    <w:p w14:paraId="4266948A" w14:textId="77777777" w:rsidR="00085A70" w:rsidRDefault="00085A70" w:rsidP="00085A70">
      <w:pPr>
        <w:rPr>
          <w:rFonts w:ascii="Garamond" w:hAnsi="Garamond"/>
        </w:rPr>
      </w:pPr>
      <w:r w:rsidRPr="00085A70">
        <w:rPr>
          <w:rFonts w:ascii="Garamond" w:hAnsi="Garamond"/>
        </w:rPr>
        <w:t xml:space="preserve">Kimberly , Neil. “South China Sea Headbutting of Nations Is about Energy Security.” South China </w:t>
      </w:r>
    </w:p>
    <w:p w14:paraId="45E0315C" w14:textId="59D176C5" w:rsidR="00085A70" w:rsidRPr="00680558" w:rsidRDefault="00085A70" w:rsidP="00680558">
      <w:pPr>
        <w:ind w:left="720"/>
        <w:rPr>
          <w:rFonts w:ascii="Garamond" w:hAnsi="Garamond"/>
        </w:rPr>
      </w:pPr>
      <w:r w:rsidRPr="00085A70">
        <w:rPr>
          <w:rFonts w:ascii="Garamond" w:hAnsi="Garamond"/>
        </w:rPr>
        <w:t xml:space="preserve">Morning Post, April 5, 2016. </w:t>
      </w:r>
      <w:hyperlink r:id="rId14" w:history="1">
        <w:r w:rsidRPr="00085A70">
          <w:rPr>
            <w:rStyle w:val="Hyperlink"/>
            <w:rFonts w:ascii="Garamond" w:hAnsi="Garamond"/>
          </w:rPr>
          <w:t>https://www.scmp.com/business/article/1933745/south-</w:t>
        </w:r>
      </w:hyperlink>
      <w:r w:rsidRPr="00085A70">
        <w:rPr>
          <w:rFonts w:ascii="Garamond" w:hAnsi="Garamond"/>
        </w:rPr>
        <w:t>china-sea-headbutting-nations-about-energy-security. </w:t>
      </w:r>
    </w:p>
    <w:p w14:paraId="33BD8357"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King, Henry &amp; Crane, Charles. Correspondence to Woodrow Wilson entitled </w:t>
      </w:r>
      <w:r w:rsidRPr="00AE2284">
        <w:rPr>
          <w:rFonts w:ascii="Garamond" w:hAnsi="Garamond"/>
          <w:noProof/>
        </w:rPr>
        <w:t>"Memorandum by Henry Churchill King and Charles Richard Crane</w:t>
      </w:r>
      <w:r>
        <w:rPr>
          <w:rFonts w:ascii="Garamond" w:hAnsi="Garamond"/>
          <w:noProof/>
        </w:rPr>
        <w:t>,” May 1919,</w:t>
      </w:r>
      <w:r w:rsidRPr="00AE2284">
        <w:rPr>
          <w:rFonts w:ascii="Garamond" w:hAnsi="Garamond"/>
          <w:noProof/>
        </w:rPr>
        <w:t xml:space="preserve"> Woodrow Wilson Archives, University of Virginia</w:t>
      </w:r>
      <w:r>
        <w:rPr>
          <w:rFonts w:ascii="Garamond" w:hAnsi="Garamond"/>
          <w:noProof/>
        </w:rPr>
        <w:t xml:space="preserve">, Charlottesville, VA. </w:t>
      </w:r>
    </w:p>
    <w:p w14:paraId="0864701C"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King, Henry &amp; Crane, Charles. Report titled </w:t>
      </w:r>
      <w:r w:rsidRPr="00AE2284">
        <w:rPr>
          <w:rFonts w:ascii="Garamond" w:hAnsi="Garamond"/>
          <w:noProof/>
        </w:rPr>
        <w:t>"Report of the American Section of the International Commission on Mandates in Turkey</w:t>
      </w:r>
      <w:r>
        <w:rPr>
          <w:rFonts w:ascii="Garamond" w:hAnsi="Garamond"/>
          <w:noProof/>
        </w:rPr>
        <w:t>,” August 28, 1919,</w:t>
      </w:r>
      <w:r w:rsidRPr="00AE2284">
        <w:rPr>
          <w:rFonts w:ascii="Garamond" w:hAnsi="Garamond"/>
          <w:noProof/>
        </w:rPr>
        <w:t xml:space="preserve"> Papers Relating to the Foreign Relations of the United States, The Paris Peace Conference, 1919, Volume XII, Field Missions of the American Commission to Negotiate Peace, Document 380, Paris Peace Conf. 181.9102/9</w:t>
      </w:r>
      <w:r>
        <w:rPr>
          <w:rFonts w:ascii="Garamond" w:hAnsi="Garamond"/>
          <w:noProof/>
        </w:rPr>
        <w:t xml:space="preserve">. </w:t>
      </w:r>
    </w:p>
    <w:p w14:paraId="102D8AF0"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Knock, T</w:t>
      </w:r>
      <w:r>
        <w:rPr>
          <w:rFonts w:ascii="Garamond" w:hAnsi="Garamond"/>
          <w:noProof/>
        </w:rPr>
        <w:t>homas</w:t>
      </w:r>
      <w:r w:rsidRPr="00AE2284">
        <w:rPr>
          <w:rFonts w:ascii="Garamond" w:hAnsi="Garamond"/>
          <w:noProof/>
        </w:rPr>
        <w:t>. J.</w:t>
      </w:r>
      <w:r>
        <w:rPr>
          <w:rFonts w:ascii="Garamond" w:hAnsi="Garamond"/>
          <w:noProof/>
        </w:rPr>
        <w:t>,</w:t>
      </w:r>
      <w:r w:rsidRPr="00AE2284">
        <w:rPr>
          <w:rFonts w:ascii="Garamond" w:hAnsi="Garamond"/>
          <w:noProof/>
        </w:rPr>
        <w:t xml:space="preserve"> </w:t>
      </w:r>
      <w:r w:rsidRPr="00AE2284">
        <w:rPr>
          <w:rFonts w:ascii="Garamond" w:hAnsi="Garamond"/>
          <w:i/>
          <w:iCs/>
          <w:noProof/>
        </w:rPr>
        <w:t>To End All Wars: Woodrow WIlson and the Quest for a New World Order.</w:t>
      </w:r>
      <w:r w:rsidRPr="00AE2284">
        <w:rPr>
          <w:rFonts w:ascii="Garamond" w:hAnsi="Garamond"/>
          <w:noProof/>
        </w:rPr>
        <w:t xml:space="preserve"> New York: Oxford University Press</w:t>
      </w:r>
      <w:r>
        <w:rPr>
          <w:rFonts w:ascii="Garamond" w:hAnsi="Garamond"/>
          <w:noProof/>
        </w:rPr>
        <w:t xml:space="preserve">, </w:t>
      </w:r>
      <w:r w:rsidRPr="00AE2284">
        <w:rPr>
          <w:rFonts w:ascii="Garamond" w:hAnsi="Garamond"/>
          <w:noProof/>
        </w:rPr>
        <w:t>1992</w:t>
      </w:r>
      <w:r>
        <w:rPr>
          <w:rFonts w:ascii="Garamond" w:hAnsi="Garamond"/>
          <w:noProof/>
        </w:rPr>
        <w:t xml:space="preserve">. </w:t>
      </w:r>
    </w:p>
    <w:p w14:paraId="3E37C578"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Lesch, D. "The Ironic Legacy of the King - Crane Commission ." In </w:t>
      </w:r>
      <w:r w:rsidRPr="00AE2284">
        <w:rPr>
          <w:rFonts w:ascii="Garamond" w:hAnsi="Garamond"/>
          <w:i/>
          <w:iCs/>
          <w:noProof/>
        </w:rPr>
        <w:t xml:space="preserve">The Middle East and the United States: A Historical and Political Reassessment </w:t>
      </w:r>
      <w:r w:rsidRPr="00AE2284">
        <w:rPr>
          <w:rFonts w:ascii="Garamond" w:hAnsi="Garamond"/>
          <w:noProof/>
        </w:rPr>
        <w:t>, by J. Gelvin, 13 - 29 . Boulder, CO: Westview Press</w:t>
      </w:r>
      <w:r>
        <w:rPr>
          <w:rFonts w:ascii="Garamond" w:hAnsi="Garamond"/>
          <w:noProof/>
        </w:rPr>
        <w:t xml:space="preserve">, </w:t>
      </w:r>
      <w:r w:rsidRPr="00AE2284">
        <w:rPr>
          <w:rFonts w:ascii="Garamond" w:hAnsi="Garamond"/>
          <w:noProof/>
        </w:rPr>
        <w:t>2007.</w:t>
      </w:r>
    </w:p>
    <w:p w14:paraId="7C9F73D7" w14:textId="69FBC035" w:rsidR="00F56E17" w:rsidRDefault="00F56E17" w:rsidP="00F56E17">
      <w:pPr>
        <w:pStyle w:val="Bibliography"/>
        <w:ind w:left="720" w:hanging="720"/>
        <w:rPr>
          <w:rFonts w:ascii="Garamond" w:hAnsi="Garamond"/>
          <w:noProof/>
        </w:rPr>
      </w:pPr>
      <w:r>
        <w:rPr>
          <w:rFonts w:ascii="Garamond" w:hAnsi="Garamond"/>
          <w:noProof/>
        </w:rPr>
        <w:t xml:space="preserve">Lybyer, Albert. </w:t>
      </w:r>
      <w:r w:rsidRPr="00AE2284">
        <w:rPr>
          <w:rFonts w:ascii="Garamond" w:hAnsi="Garamond"/>
          <w:noProof/>
        </w:rPr>
        <w:t>"Report by Albert H. Lybyer, 1 July 1919</w:t>
      </w:r>
      <w:r>
        <w:rPr>
          <w:rFonts w:ascii="Garamond" w:hAnsi="Garamond"/>
          <w:noProof/>
        </w:rPr>
        <w:t>,</w:t>
      </w:r>
      <w:r w:rsidRPr="00AE2284">
        <w:rPr>
          <w:rFonts w:ascii="Garamond" w:hAnsi="Garamond"/>
          <w:noProof/>
        </w:rPr>
        <w:t xml:space="preserve">" </w:t>
      </w:r>
      <w:r>
        <w:rPr>
          <w:rFonts w:ascii="Garamond" w:hAnsi="Garamond"/>
          <w:noProof/>
        </w:rPr>
        <w:t xml:space="preserve">July 1919, </w:t>
      </w:r>
      <w:r w:rsidRPr="00AE2284">
        <w:rPr>
          <w:rFonts w:ascii="Garamond" w:hAnsi="Garamond"/>
          <w:noProof/>
        </w:rPr>
        <w:t>King - Crane Commission Digital Collection</w:t>
      </w:r>
      <w:r>
        <w:rPr>
          <w:rFonts w:ascii="Garamond" w:hAnsi="Garamond"/>
          <w:noProof/>
        </w:rPr>
        <w:t>,</w:t>
      </w:r>
      <w:r w:rsidRPr="00AE2284">
        <w:rPr>
          <w:rFonts w:ascii="Garamond" w:hAnsi="Garamond"/>
          <w:noProof/>
        </w:rPr>
        <w:t xml:space="preserve"> Oberlin College, Ohio.</w:t>
      </w:r>
    </w:p>
    <w:p w14:paraId="07182326" w14:textId="31284DBD" w:rsidR="002440FD" w:rsidRDefault="002440FD" w:rsidP="002440FD">
      <w:pPr>
        <w:rPr>
          <w:rFonts w:ascii="Garamond" w:hAnsi="Garamond"/>
          <w:noProof/>
        </w:rPr>
      </w:pPr>
      <w:r w:rsidRPr="00680558">
        <w:rPr>
          <w:rFonts w:ascii="Garamond" w:hAnsi="Garamond"/>
        </w:rPr>
        <w:t xml:space="preserve">Lybyer, Albert. </w:t>
      </w:r>
      <w:r w:rsidR="00365FFE" w:rsidRPr="00365FFE">
        <w:rPr>
          <w:rFonts w:ascii="Garamond" w:hAnsi="Garamond"/>
        </w:rPr>
        <w:t>Correspondence</w:t>
      </w:r>
      <w:r w:rsidRPr="00680558">
        <w:rPr>
          <w:rFonts w:ascii="Garamond" w:hAnsi="Garamond"/>
        </w:rPr>
        <w:t xml:space="preserve"> to Ediwn Gay, January 1933, </w:t>
      </w:r>
      <w:r w:rsidRPr="002440FD">
        <w:rPr>
          <w:rFonts w:ascii="Garamond" w:hAnsi="Garamond"/>
          <w:noProof/>
        </w:rPr>
        <w:t xml:space="preserve">King-Crane Commission Digital </w:t>
      </w:r>
    </w:p>
    <w:p w14:paraId="7A098F36" w14:textId="2F24FA99" w:rsidR="002440FD" w:rsidRPr="00680558" w:rsidRDefault="002440FD" w:rsidP="00680558">
      <w:pPr>
        <w:ind w:firstLine="720"/>
        <w:rPr>
          <w:rFonts w:ascii="Garamond" w:hAnsi="Garamond"/>
        </w:rPr>
      </w:pPr>
      <w:r w:rsidRPr="002440FD">
        <w:rPr>
          <w:rFonts w:ascii="Garamond" w:hAnsi="Garamond"/>
          <w:noProof/>
        </w:rPr>
        <w:t xml:space="preserve">Archive, Oberlin College, Ohio, </w:t>
      </w:r>
      <w:r>
        <w:rPr>
          <w:rFonts w:ascii="Garamond" w:hAnsi="Garamond"/>
          <w:noProof/>
        </w:rPr>
        <w:t xml:space="preserve">January 1933. </w:t>
      </w:r>
    </w:p>
    <w:p w14:paraId="0C2C0ADA"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Macmillan, Margaret. </w:t>
      </w:r>
      <w:r w:rsidRPr="00AE2284">
        <w:rPr>
          <w:rFonts w:ascii="Garamond" w:hAnsi="Garamond"/>
          <w:i/>
          <w:iCs/>
          <w:noProof/>
        </w:rPr>
        <w:t>Peacemakers: The Paris Conference of 1919 and its Attempt to end War .</w:t>
      </w:r>
      <w:r w:rsidRPr="00AE2284">
        <w:rPr>
          <w:rFonts w:ascii="Garamond" w:hAnsi="Garamond"/>
          <w:noProof/>
        </w:rPr>
        <w:t xml:space="preserve"> London: John Murray</w:t>
      </w:r>
      <w:r>
        <w:rPr>
          <w:rFonts w:ascii="Garamond" w:hAnsi="Garamond"/>
          <w:noProof/>
        </w:rPr>
        <w:t xml:space="preserve">, </w:t>
      </w:r>
      <w:r w:rsidRPr="00AE2284">
        <w:rPr>
          <w:rFonts w:ascii="Garamond" w:hAnsi="Garamond"/>
          <w:noProof/>
        </w:rPr>
        <w:t>2005.</w:t>
      </w:r>
    </w:p>
    <w:p w14:paraId="10A8F788" w14:textId="7BC624D9"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Manela, </w:t>
      </w:r>
      <w:r w:rsidR="006A44DD">
        <w:rPr>
          <w:rFonts w:ascii="Garamond" w:hAnsi="Garamond"/>
          <w:noProof/>
        </w:rPr>
        <w:t>Erez</w:t>
      </w:r>
      <w:r w:rsidRPr="00AE2284">
        <w:rPr>
          <w:rFonts w:ascii="Garamond" w:hAnsi="Garamond"/>
          <w:noProof/>
        </w:rPr>
        <w:t xml:space="preserve">. </w:t>
      </w:r>
      <w:r w:rsidRPr="00AE2284">
        <w:rPr>
          <w:rFonts w:ascii="Garamond" w:hAnsi="Garamond"/>
          <w:i/>
          <w:iCs/>
          <w:noProof/>
        </w:rPr>
        <w:t>The Wilsonian Moment: Self Determination and the International Origins of Anticolonial Nationalism.</w:t>
      </w:r>
      <w:r w:rsidRPr="00AE2284">
        <w:rPr>
          <w:rFonts w:ascii="Garamond" w:hAnsi="Garamond"/>
          <w:noProof/>
        </w:rPr>
        <w:t xml:space="preserve"> New York: Oxford University Press</w:t>
      </w:r>
      <w:r>
        <w:rPr>
          <w:rFonts w:ascii="Garamond" w:hAnsi="Garamond"/>
          <w:noProof/>
        </w:rPr>
        <w:t xml:space="preserve">, </w:t>
      </w:r>
      <w:r w:rsidRPr="00AE2284">
        <w:rPr>
          <w:rFonts w:ascii="Garamond" w:hAnsi="Garamond"/>
          <w:noProof/>
        </w:rPr>
        <w:t>2007.</w:t>
      </w:r>
    </w:p>
    <w:p w14:paraId="3D2CE7EF"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Maurer, John. "Fuel and the Battle Fleet: Coal, Oil and American Naval Strategy, 1898 - 1925." </w:t>
      </w:r>
      <w:r w:rsidRPr="00AE2284">
        <w:rPr>
          <w:rFonts w:ascii="Garamond" w:hAnsi="Garamond"/>
          <w:i/>
          <w:iCs/>
          <w:noProof/>
        </w:rPr>
        <w:t xml:space="preserve">Naval War College </w:t>
      </w:r>
      <w:r w:rsidRPr="00AC4A18">
        <w:rPr>
          <w:rFonts w:ascii="Garamond" w:hAnsi="Garamond"/>
          <w:noProof/>
        </w:rPr>
        <w:t>Review</w:t>
      </w:r>
      <w:r>
        <w:rPr>
          <w:rFonts w:ascii="Garamond" w:hAnsi="Garamond"/>
          <w:noProof/>
        </w:rPr>
        <w:t>, (</w:t>
      </w:r>
      <w:r w:rsidRPr="00AE2284">
        <w:rPr>
          <w:rFonts w:ascii="Garamond" w:hAnsi="Garamond"/>
          <w:noProof/>
        </w:rPr>
        <w:t>1981</w:t>
      </w:r>
      <w:r>
        <w:rPr>
          <w:rFonts w:ascii="Garamond" w:hAnsi="Garamond"/>
          <w:noProof/>
        </w:rPr>
        <w:t xml:space="preserve">): </w:t>
      </w:r>
      <w:r w:rsidRPr="00AC4A18">
        <w:rPr>
          <w:rFonts w:ascii="Garamond" w:hAnsi="Garamond"/>
          <w:noProof/>
        </w:rPr>
        <w:t>60</w:t>
      </w:r>
      <w:r w:rsidRPr="00AE2284">
        <w:rPr>
          <w:rFonts w:ascii="Garamond" w:hAnsi="Garamond"/>
          <w:noProof/>
        </w:rPr>
        <w:t xml:space="preserve"> - 77.</w:t>
      </w:r>
    </w:p>
    <w:p w14:paraId="7ECA9942"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Murphy, R.</w:t>
      </w:r>
      <w:r>
        <w:rPr>
          <w:rFonts w:ascii="Garamond" w:hAnsi="Garamond"/>
          <w:noProof/>
        </w:rPr>
        <w:t xml:space="preserve">, </w:t>
      </w:r>
      <w:r w:rsidRPr="00AE2284">
        <w:rPr>
          <w:rFonts w:ascii="Garamond" w:hAnsi="Garamond"/>
          <w:i/>
          <w:iCs/>
          <w:noProof/>
        </w:rPr>
        <w:t>The Roots of Realism and Idealism: U.S. Engagement with the Middle East, 1918 - 1939.</w:t>
      </w:r>
      <w:r w:rsidRPr="00AE2284">
        <w:rPr>
          <w:rFonts w:ascii="Garamond" w:hAnsi="Garamond"/>
          <w:noProof/>
        </w:rPr>
        <w:t xml:space="preserve"> Arab Center for Middle East Policy Studies</w:t>
      </w:r>
      <w:r>
        <w:rPr>
          <w:rFonts w:ascii="Garamond" w:hAnsi="Garamond"/>
          <w:noProof/>
        </w:rPr>
        <w:t xml:space="preserve"> (</w:t>
      </w:r>
      <w:r w:rsidRPr="00AE2284">
        <w:rPr>
          <w:rFonts w:ascii="Garamond" w:hAnsi="Garamond"/>
          <w:noProof/>
        </w:rPr>
        <w:t>2015</w:t>
      </w:r>
      <w:r>
        <w:rPr>
          <w:rFonts w:ascii="Garamond" w:hAnsi="Garamond"/>
          <w:noProof/>
        </w:rPr>
        <w:t>)</w:t>
      </w:r>
      <w:r w:rsidRPr="00AE2284">
        <w:rPr>
          <w:rFonts w:ascii="Garamond" w:hAnsi="Garamond"/>
          <w:noProof/>
        </w:rPr>
        <w:t>.</w:t>
      </w:r>
    </w:p>
    <w:p w14:paraId="3D666639"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Myers, D.</w:t>
      </w:r>
      <w:r>
        <w:rPr>
          <w:rFonts w:ascii="Garamond" w:hAnsi="Garamond"/>
          <w:noProof/>
        </w:rPr>
        <w:t>,</w:t>
      </w:r>
      <w:r w:rsidRPr="00AE2284">
        <w:rPr>
          <w:rFonts w:ascii="Garamond" w:hAnsi="Garamond"/>
          <w:noProof/>
        </w:rPr>
        <w:t xml:space="preserve"> "The Mandate System of the League of Nations." </w:t>
      </w:r>
      <w:r w:rsidRPr="00AE2284">
        <w:rPr>
          <w:rFonts w:ascii="Garamond" w:hAnsi="Garamond"/>
          <w:i/>
          <w:iCs/>
          <w:noProof/>
        </w:rPr>
        <w:t xml:space="preserve">The Annals of the American Academy of Political and Social Science </w:t>
      </w:r>
      <w:r>
        <w:rPr>
          <w:rFonts w:ascii="Garamond" w:hAnsi="Garamond"/>
          <w:noProof/>
        </w:rPr>
        <w:t xml:space="preserve">(1921): </w:t>
      </w:r>
      <w:r w:rsidRPr="00AE2284">
        <w:rPr>
          <w:rFonts w:ascii="Garamond" w:hAnsi="Garamond"/>
          <w:noProof/>
        </w:rPr>
        <w:t>74 - 77.</w:t>
      </w:r>
    </w:p>
    <w:p w14:paraId="1C6C6C41"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Office of the Historian . n.d. </w:t>
      </w:r>
      <w:r w:rsidRPr="00AE2284">
        <w:rPr>
          <w:rFonts w:ascii="Garamond" w:hAnsi="Garamond"/>
          <w:i/>
          <w:iCs/>
          <w:noProof/>
        </w:rPr>
        <w:t>Secretary of State John Hay and the Open Door in China 1899 - 1900.</w:t>
      </w:r>
      <w:r w:rsidRPr="00AE2284">
        <w:rPr>
          <w:rFonts w:ascii="Garamond" w:hAnsi="Garamond"/>
          <w:noProof/>
        </w:rPr>
        <w:t xml:space="preserve"> Accessed 2020 . https://history.state.gov/milestones/1899-1913/hay-and-china.</w:t>
      </w:r>
    </w:p>
    <w:p w14:paraId="0681C166" w14:textId="77777777" w:rsidR="00F56E17" w:rsidRPr="0026771B" w:rsidRDefault="00F56E17" w:rsidP="00F56E17">
      <w:pPr>
        <w:pStyle w:val="Bibliography"/>
        <w:ind w:left="720" w:hanging="720"/>
        <w:rPr>
          <w:rFonts w:ascii="Garamond" w:hAnsi="Garamond"/>
          <w:noProof/>
        </w:rPr>
      </w:pPr>
      <w:r>
        <w:rPr>
          <w:rFonts w:ascii="Garamond" w:hAnsi="Garamond"/>
          <w:noProof/>
        </w:rPr>
        <w:t xml:space="preserve">Page. Correspondence between </w:t>
      </w:r>
      <w:r w:rsidRPr="00AE2284">
        <w:rPr>
          <w:rFonts w:ascii="Garamond" w:hAnsi="Garamond"/>
          <w:noProof/>
        </w:rPr>
        <w:t xml:space="preserve">"The Ambassador in Great Britain ( Page) to the Secretary of State." </w:t>
      </w:r>
      <w:r>
        <w:rPr>
          <w:rFonts w:ascii="Garamond" w:hAnsi="Garamond"/>
          <w:noProof/>
        </w:rPr>
        <w:t>September 1918.</w:t>
      </w:r>
      <w:r w:rsidRPr="00AE2284">
        <w:rPr>
          <w:rFonts w:ascii="Garamond" w:hAnsi="Garamond"/>
          <w:noProof/>
        </w:rPr>
        <w:t xml:space="preserve"> Cooperation of the United States with the Allied Powers in the Distribution of Oil and Oil-Well Equipment, Supplement I, The World War, Volume I, Papers Relating to the Foreign Relations of the Unite States, </w:t>
      </w:r>
      <w:r>
        <w:rPr>
          <w:rFonts w:ascii="Garamond" w:hAnsi="Garamond"/>
          <w:noProof/>
        </w:rPr>
        <w:t xml:space="preserve">Document 543. </w:t>
      </w:r>
      <w:r w:rsidRPr="0026771B">
        <w:rPr>
          <w:rFonts w:ascii="Garamond" w:hAnsi="Garamond"/>
          <w:noProof/>
        </w:rPr>
        <w:t>600.119/1420</w:t>
      </w:r>
      <w:r>
        <w:rPr>
          <w:rFonts w:ascii="Garamond" w:hAnsi="Garamond"/>
          <w:noProof/>
        </w:rPr>
        <w:t xml:space="preserve">, </w:t>
      </w:r>
    </w:p>
    <w:p w14:paraId="3AE519FB"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Painter, D.</w:t>
      </w:r>
      <w:r>
        <w:rPr>
          <w:rFonts w:ascii="Garamond" w:hAnsi="Garamond"/>
          <w:noProof/>
        </w:rPr>
        <w:t>,</w:t>
      </w:r>
      <w:r w:rsidRPr="00AE2284">
        <w:rPr>
          <w:rFonts w:ascii="Garamond" w:hAnsi="Garamond"/>
          <w:noProof/>
        </w:rPr>
        <w:t xml:space="preserve"> "Oil and the American Century ." </w:t>
      </w:r>
      <w:r w:rsidRPr="00AE2284">
        <w:rPr>
          <w:rFonts w:ascii="Garamond" w:hAnsi="Garamond"/>
          <w:i/>
          <w:iCs/>
          <w:noProof/>
        </w:rPr>
        <w:t>Journal of American History</w:t>
      </w:r>
      <w:r>
        <w:rPr>
          <w:rFonts w:ascii="Garamond" w:hAnsi="Garamond"/>
          <w:noProof/>
        </w:rPr>
        <w:t>, (</w:t>
      </w:r>
      <w:r w:rsidRPr="00AE2284">
        <w:rPr>
          <w:rFonts w:ascii="Garamond" w:hAnsi="Garamond"/>
          <w:noProof/>
        </w:rPr>
        <w:t>2012</w:t>
      </w:r>
      <w:r>
        <w:rPr>
          <w:rFonts w:ascii="Garamond" w:hAnsi="Garamond"/>
          <w:noProof/>
        </w:rPr>
        <w:t>):</w:t>
      </w:r>
      <w:r w:rsidRPr="00AE2284">
        <w:rPr>
          <w:rFonts w:ascii="Garamond" w:hAnsi="Garamond"/>
          <w:i/>
          <w:iCs/>
          <w:noProof/>
        </w:rPr>
        <w:t xml:space="preserve"> </w:t>
      </w:r>
      <w:r w:rsidRPr="00AE2284">
        <w:rPr>
          <w:rFonts w:ascii="Garamond" w:hAnsi="Garamond"/>
          <w:noProof/>
        </w:rPr>
        <w:t>24 - 39.</w:t>
      </w:r>
    </w:p>
    <w:p w14:paraId="0222874E"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Patrick, Andrew. </w:t>
      </w:r>
      <w:r w:rsidRPr="00AE2284">
        <w:rPr>
          <w:rFonts w:ascii="Garamond" w:hAnsi="Garamond"/>
          <w:i/>
          <w:iCs/>
          <w:noProof/>
        </w:rPr>
        <w:t>America's forgotten Middle East Initiative: The King - Crane Commission of 1919 .</w:t>
      </w:r>
      <w:r w:rsidRPr="00AE2284">
        <w:rPr>
          <w:rFonts w:ascii="Garamond" w:hAnsi="Garamond"/>
          <w:noProof/>
        </w:rPr>
        <w:t xml:space="preserve"> London: Tauris</w:t>
      </w:r>
      <w:r>
        <w:rPr>
          <w:rFonts w:ascii="Garamond" w:hAnsi="Garamond"/>
          <w:noProof/>
        </w:rPr>
        <w:t xml:space="preserve">, </w:t>
      </w:r>
      <w:r w:rsidRPr="00AE2284">
        <w:rPr>
          <w:rFonts w:ascii="Garamond" w:hAnsi="Garamond"/>
          <w:noProof/>
        </w:rPr>
        <w:t>2015.</w:t>
      </w:r>
    </w:p>
    <w:p w14:paraId="01AD7C01"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Patrick, Mary. </w:t>
      </w:r>
      <w:r w:rsidRPr="00AE2284">
        <w:rPr>
          <w:rFonts w:ascii="Garamond" w:hAnsi="Garamond"/>
          <w:noProof/>
        </w:rPr>
        <w:t>"Document from Mary Mills Patrick arguing for an American mandate over Turkey</w:t>
      </w:r>
      <w:r>
        <w:rPr>
          <w:rFonts w:ascii="Garamond" w:hAnsi="Garamond"/>
          <w:noProof/>
        </w:rPr>
        <w:t xml:space="preserve">," 1919, </w:t>
      </w:r>
      <w:r w:rsidRPr="00AE2284">
        <w:rPr>
          <w:rFonts w:ascii="Garamond" w:hAnsi="Garamond"/>
          <w:noProof/>
        </w:rPr>
        <w:t>King - Crane Commission Digital Archive, Oberlin College.</w:t>
      </w:r>
    </w:p>
    <w:p w14:paraId="777ADC79"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Phillips, William. Correspondence between </w:t>
      </w:r>
      <w:r w:rsidRPr="00AE2284">
        <w:rPr>
          <w:rFonts w:ascii="Garamond" w:hAnsi="Garamond"/>
          <w:noProof/>
        </w:rPr>
        <w:t>"The Acting Secretary of State to the Ambassador in Great Britain (Davis)</w:t>
      </w:r>
      <w:r>
        <w:rPr>
          <w:rFonts w:ascii="Garamond" w:hAnsi="Garamond"/>
          <w:noProof/>
        </w:rPr>
        <w:t>,</w:t>
      </w:r>
      <w:r w:rsidRPr="00AE2284">
        <w:rPr>
          <w:rFonts w:ascii="Garamond" w:hAnsi="Garamond"/>
          <w:noProof/>
        </w:rPr>
        <w:t xml:space="preserve">" </w:t>
      </w:r>
      <w:r>
        <w:rPr>
          <w:rFonts w:ascii="Garamond" w:hAnsi="Garamond"/>
          <w:noProof/>
        </w:rPr>
        <w:t>March 18, 1919.</w:t>
      </w:r>
      <w:r w:rsidRPr="00AE2284">
        <w:rPr>
          <w:rFonts w:ascii="Garamond" w:hAnsi="Garamond"/>
          <w:noProof/>
        </w:rPr>
        <w:t xml:space="preserve"> Oil concession in Palestine and Mesopotamia, </w:t>
      </w:r>
      <w:r w:rsidRPr="00AE2284">
        <w:rPr>
          <w:rFonts w:ascii="Garamond" w:hAnsi="Garamond"/>
          <w:noProof/>
        </w:rPr>
        <w:lastRenderedPageBreak/>
        <w:t xml:space="preserve">Volume II, Papers Relating to Foreign Relations of the United States, </w:t>
      </w:r>
      <w:r>
        <w:rPr>
          <w:rFonts w:ascii="Garamond" w:hAnsi="Garamond"/>
          <w:noProof/>
        </w:rPr>
        <w:t xml:space="preserve">Document 199, </w:t>
      </w:r>
      <w:r w:rsidRPr="00772278">
        <w:rPr>
          <w:rFonts w:ascii="Garamond" w:hAnsi="Garamond"/>
          <w:noProof/>
        </w:rPr>
        <w:t>467.11St25/32</w:t>
      </w:r>
      <w:r>
        <w:rPr>
          <w:rFonts w:ascii="Garamond" w:hAnsi="Garamond"/>
          <w:noProof/>
        </w:rPr>
        <w:t xml:space="preserve">. </w:t>
      </w:r>
      <w:hyperlink r:id="rId15" w:history="1">
        <w:r w:rsidRPr="000615CB">
          <w:rPr>
            <w:rStyle w:val="Hyperlink"/>
            <w:rFonts w:ascii="Garamond" w:hAnsi="Garamond"/>
            <w:noProof/>
          </w:rPr>
          <w:t>https://history.state.gov/historicaldocuments/frus1919v02/d199</w:t>
        </w:r>
      </w:hyperlink>
      <w:r>
        <w:rPr>
          <w:rFonts w:ascii="Garamond" w:hAnsi="Garamond"/>
          <w:noProof/>
        </w:rPr>
        <w:t xml:space="preserve"> </w:t>
      </w:r>
      <w:r w:rsidRPr="00AE2284">
        <w:rPr>
          <w:rFonts w:ascii="Garamond" w:hAnsi="Garamond"/>
          <w:noProof/>
        </w:rPr>
        <w:t>.</w:t>
      </w:r>
    </w:p>
    <w:p w14:paraId="3F6901F1"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Phillips, William. Correspondence between </w:t>
      </w:r>
      <w:r w:rsidRPr="00AE2284">
        <w:rPr>
          <w:rFonts w:ascii="Garamond" w:hAnsi="Garamond"/>
          <w:noProof/>
        </w:rPr>
        <w:t xml:space="preserve">"The Acting Secretary of State to the Commission to Negotiate Peace." </w:t>
      </w:r>
      <w:r>
        <w:rPr>
          <w:rFonts w:ascii="Garamond" w:hAnsi="Garamond"/>
          <w:noProof/>
        </w:rPr>
        <w:t>May 21, 191.</w:t>
      </w:r>
      <w:r w:rsidRPr="00AE2284">
        <w:rPr>
          <w:rFonts w:ascii="Garamond" w:hAnsi="Garamond"/>
          <w:noProof/>
        </w:rPr>
        <w:t xml:space="preserve"> Oil concessions in Palestine and Mesopotamia, Volume II, Papers Relating to Foreig</w:t>
      </w:r>
      <w:r>
        <w:rPr>
          <w:rFonts w:ascii="Garamond" w:hAnsi="Garamond"/>
          <w:noProof/>
        </w:rPr>
        <w:t>n</w:t>
      </w:r>
      <w:r w:rsidRPr="00AE2284">
        <w:rPr>
          <w:rFonts w:ascii="Garamond" w:hAnsi="Garamond"/>
          <w:noProof/>
        </w:rPr>
        <w:t xml:space="preserve"> Relations of the United States, </w:t>
      </w:r>
      <w:r>
        <w:rPr>
          <w:rFonts w:ascii="Garamond" w:hAnsi="Garamond"/>
          <w:noProof/>
        </w:rPr>
        <w:t xml:space="preserve">Document 200. </w:t>
      </w:r>
      <w:hyperlink r:id="rId16" w:history="1">
        <w:r w:rsidRPr="000615CB">
          <w:rPr>
            <w:rStyle w:val="Hyperlink"/>
            <w:rFonts w:ascii="Garamond" w:hAnsi="Garamond"/>
            <w:noProof/>
          </w:rPr>
          <w:t>https://history.state.gov/historicaldocuments/frus1919v02/pg_252</w:t>
        </w:r>
      </w:hyperlink>
      <w:r>
        <w:rPr>
          <w:rFonts w:ascii="Garamond" w:hAnsi="Garamond"/>
          <w:noProof/>
        </w:rPr>
        <w:t xml:space="preserve"> </w:t>
      </w:r>
      <w:r w:rsidRPr="00AE2284">
        <w:rPr>
          <w:rFonts w:ascii="Garamond" w:hAnsi="Garamond"/>
          <w:noProof/>
        </w:rPr>
        <w:t>.</w:t>
      </w:r>
    </w:p>
    <w:p w14:paraId="3A7C53CB" w14:textId="77777777" w:rsidR="00F56E17" w:rsidRPr="00AE2284" w:rsidRDefault="00F56E17" w:rsidP="00F56E17">
      <w:pPr>
        <w:pStyle w:val="Bibliography"/>
        <w:ind w:left="720" w:hanging="720"/>
        <w:rPr>
          <w:rFonts w:ascii="Garamond" w:hAnsi="Garamond"/>
          <w:noProof/>
        </w:rPr>
      </w:pPr>
      <w:r>
        <w:rPr>
          <w:rFonts w:ascii="Garamond" w:hAnsi="Garamond"/>
          <w:noProof/>
        </w:rPr>
        <w:t>Phillips, Williams. Correspondence between</w:t>
      </w:r>
      <w:r w:rsidRPr="00AE2284">
        <w:rPr>
          <w:rFonts w:ascii="Garamond" w:hAnsi="Garamond"/>
          <w:noProof/>
        </w:rPr>
        <w:t>"The Acting Secretary of State to the Commission to Negotiate Peace</w:t>
      </w:r>
      <w:r>
        <w:rPr>
          <w:rFonts w:ascii="Garamond" w:hAnsi="Garamond"/>
          <w:noProof/>
        </w:rPr>
        <w:t>,</w:t>
      </w:r>
      <w:r w:rsidRPr="00AE2284">
        <w:rPr>
          <w:rFonts w:ascii="Garamond" w:hAnsi="Garamond"/>
          <w:noProof/>
        </w:rPr>
        <w:t>" September 18</w:t>
      </w:r>
      <w:r>
        <w:rPr>
          <w:rFonts w:ascii="Garamond" w:hAnsi="Garamond"/>
          <w:noProof/>
        </w:rPr>
        <w:t>, 1919</w:t>
      </w:r>
      <w:r w:rsidRPr="00AE2284">
        <w:rPr>
          <w:rFonts w:ascii="Garamond" w:hAnsi="Garamond"/>
          <w:noProof/>
        </w:rPr>
        <w:t xml:space="preserve">, Oil Concessions in Palestine and Mesopotamia, Volume II, Papers Relating to Foreign Relations of the United States 1919, </w:t>
      </w:r>
      <w:r>
        <w:rPr>
          <w:rFonts w:ascii="Garamond" w:hAnsi="Garamond"/>
          <w:noProof/>
        </w:rPr>
        <w:t xml:space="preserve">Document 204, </w:t>
      </w:r>
      <w:r w:rsidRPr="00772278">
        <w:rPr>
          <w:rFonts w:ascii="Garamond" w:hAnsi="Garamond"/>
          <w:noProof/>
        </w:rPr>
        <w:t>467.11St25/36a: Telegram</w:t>
      </w:r>
      <w:r>
        <w:rPr>
          <w:rFonts w:ascii="Garamond" w:hAnsi="Garamond"/>
          <w:noProof/>
        </w:rPr>
        <w:t>,</w:t>
      </w:r>
      <w:hyperlink r:id="rId17" w:history="1">
        <w:r w:rsidRPr="000615CB">
          <w:rPr>
            <w:rStyle w:val="Hyperlink"/>
            <w:rFonts w:ascii="Garamond" w:hAnsi="Garamond"/>
            <w:noProof/>
          </w:rPr>
          <w:t>https://history.state.gov/historicaldocuments/frus1919v02/d204</w:t>
        </w:r>
      </w:hyperlink>
      <w:r>
        <w:rPr>
          <w:rFonts w:ascii="Garamond" w:hAnsi="Garamond"/>
          <w:noProof/>
        </w:rPr>
        <w:t xml:space="preserve"> </w:t>
      </w:r>
    </w:p>
    <w:p w14:paraId="4EA75309"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Polk, Frank. </w:t>
      </w:r>
      <w:r w:rsidRPr="00AE2284">
        <w:rPr>
          <w:rFonts w:ascii="Garamond" w:hAnsi="Garamond"/>
          <w:noProof/>
        </w:rPr>
        <w:t>"The Commission to Negotiate Peace to the Secretary of State," September 29</w:t>
      </w:r>
      <w:r>
        <w:rPr>
          <w:rFonts w:ascii="Garamond" w:hAnsi="Garamond"/>
          <w:noProof/>
        </w:rPr>
        <w:t>.</w:t>
      </w:r>
      <w:r w:rsidRPr="00AE2284">
        <w:rPr>
          <w:rFonts w:ascii="Garamond" w:hAnsi="Garamond"/>
          <w:noProof/>
        </w:rPr>
        <w:t xml:space="preserve"> Oil concessions in Palestine and Mesopotamia, Volume II, Papers Relating to Foreign Relations of the United States, </w:t>
      </w:r>
      <w:r>
        <w:rPr>
          <w:rFonts w:ascii="Garamond" w:hAnsi="Garamond"/>
          <w:noProof/>
        </w:rPr>
        <w:t>Document 205</w:t>
      </w:r>
      <w:r w:rsidRPr="00AE2284">
        <w:rPr>
          <w:rFonts w:ascii="Garamond" w:hAnsi="Garamond"/>
          <w:noProof/>
        </w:rPr>
        <w:t xml:space="preserve">, </w:t>
      </w:r>
      <w:r w:rsidRPr="00FA76CD">
        <w:rPr>
          <w:rFonts w:ascii="Garamond" w:hAnsi="Garamond"/>
          <w:noProof/>
        </w:rPr>
        <w:t>467.11St25/37</w:t>
      </w:r>
      <w:r>
        <w:rPr>
          <w:rFonts w:ascii="Garamond" w:hAnsi="Garamond"/>
          <w:noProof/>
        </w:rPr>
        <w:t xml:space="preserve">. </w:t>
      </w:r>
      <w:r w:rsidRPr="00AE2284">
        <w:rPr>
          <w:rFonts w:ascii="Garamond" w:hAnsi="Garamond"/>
          <w:noProof/>
        </w:rPr>
        <w:t>https://history.state.gov/historicaldocuments/frus1919v02/ch15subch1.</w:t>
      </w:r>
    </w:p>
    <w:p w14:paraId="04295445" w14:textId="77777777" w:rsidR="00F56E17" w:rsidRPr="00BF1CCB" w:rsidRDefault="00F56E17" w:rsidP="00F56E17">
      <w:pPr>
        <w:pStyle w:val="Bibliography"/>
        <w:ind w:left="720" w:hanging="720"/>
        <w:rPr>
          <w:rFonts w:ascii="Garamond" w:hAnsi="Garamond"/>
          <w:noProof/>
        </w:rPr>
      </w:pPr>
      <w:r>
        <w:rPr>
          <w:rFonts w:ascii="Garamond" w:hAnsi="Garamond"/>
          <w:noProof/>
        </w:rPr>
        <w:t xml:space="preserve">Reading. Correspondence between </w:t>
      </w:r>
      <w:r w:rsidRPr="00AE2284">
        <w:rPr>
          <w:rFonts w:ascii="Garamond" w:hAnsi="Garamond"/>
          <w:noProof/>
        </w:rPr>
        <w:t>"The British Ambassador on Special Mission ( Reading) to the Assistant Secretary of State ( Phillips),</w:t>
      </w:r>
      <w:r>
        <w:rPr>
          <w:rFonts w:ascii="Garamond" w:hAnsi="Garamond"/>
          <w:noProof/>
        </w:rPr>
        <w:t>” 1918.</w:t>
      </w:r>
      <w:r w:rsidRPr="00AE2284">
        <w:rPr>
          <w:rFonts w:ascii="Garamond" w:hAnsi="Garamond"/>
          <w:noProof/>
        </w:rPr>
        <w:t xml:space="preserve"> Cooperation of the United States with the Allied Powers in the Distribution of Oil and Oil-Well Equipment, Supplement 1, The World War, Volume I, Papers Relating to the Foreign Relations of the United States, </w:t>
      </w:r>
      <w:r>
        <w:rPr>
          <w:rFonts w:ascii="Garamond" w:hAnsi="Garamond"/>
          <w:noProof/>
        </w:rPr>
        <w:t xml:space="preserve">Document 550, </w:t>
      </w:r>
      <w:r w:rsidRPr="00BF1CCB">
        <w:rPr>
          <w:rFonts w:ascii="Garamond" w:hAnsi="Garamond"/>
          <w:noProof/>
        </w:rPr>
        <w:t>800.6363</w:t>
      </w:r>
      <w:r>
        <w:rPr>
          <w:rFonts w:ascii="Garamond" w:hAnsi="Garamond"/>
          <w:noProof/>
        </w:rPr>
        <w:t xml:space="preserve">, </w:t>
      </w:r>
      <w:r w:rsidRPr="00AE2284">
        <w:rPr>
          <w:rFonts w:ascii="Garamond" w:hAnsi="Garamond"/>
          <w:noProof/>
        </w:rPr>
        <w:t>https://history.state.gov/historicaldocuments/frus1918Supp01v01/d538</w:t>
      </w:r>
    </w:p>
    <w:p w14:paraId="40927FEE"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Reiner, M.. "The King Crane - Commission at the Juncture of Politics and Historiography ." </w:t>
      </w:r>
      <w:r w:rsidRPr="00AE2284">
        <w:rPr>
          <w:rFonts w:ascii="Garamond" w:hAnsi="Garamond"/>
          <w:i/>
          <w:iCs/>
          <w:noProof/>
        </w:rPr>
        <w:t>Critical Middle Eastern Studies</w:t>
      </w:r>
      <w:r>
        <w:rPr>
          <w:rFonts w:ascii="Garamond" w:hAnsi="Garamond"/>
          <w:noProof/>
        </w:rPr>
        <w:t>, (</w:t>
      </w:r>
      <w:r w:rsidRPr="00AE2284">
        <w:rPr>
          <w:rFonts w:ascii="Garamond" w:hAnsi="Garamond"/>
          <w:noProof/>
        </w:rPr>
        <w:t>2006</w:t>
      </w:r>
      <w:r>
        <w:rPr>
          <w:rFonts w:ascii="Garamond" w:hAnsi="Garamond"/>
          <w:noProof/>
        </w:rPr>
        <w:t>): 129 - 150</w:t>
      </w:r>
      <w:r w:rsidRPr="00AE2284">
        <w:rPr>
          <w:rFonts w:ascii="Garamond" w:hAnsi="Garamond"/>
          <w:i/>
          <w:iCs/>
          <w:noProof/>
        </w:rPr>
        <w:t>.</w:t>
      </w:r>
      <w:r w:rsidRPr="00AE2284">
        <w:rPr>
          <w:rFonts w:ascii="Garamond" w:hAnsi="Garamond"/>
          <w:noProof/>
        </w:rPr>
        <w:t xml:space="preserve"> </w:t>
      </w:r>
    </w:p>
    <w:p w14:paraId="4F42B563"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Rosenberg, Emily</w:t>
      </w:r>
      <w:r>
        <w:rPr>
          <w:rFonts w:ascii="Garamond" w:hAnsi="Garamond"/>
          <w:noProof/>
        </w:rPr>
        <w:t>,</w:t>
      </w:r>
      <w:r w:rsidRPr="00AE2284">
        <w:rPr>
          <w:rFonts w:ascii="Garamond" w:hAnsi="Garamond"/>
          <w:noProof/>
        </w:rPr>
        <w:t xml:space="preserve"> </w:t>
      </w:r>
      <w:r w:rsidRPr="00AE2284">
        <w:rPr>
          <w:rFonts w:ascii="Garamond" w:hAnsi="Garamond"/>
          <w:i/>
          <w:iCs/>
          <w:noProof/>
        </w:rPr>
        <w:t>Spreading the American Dream: American Economic and Cultural Expansion, 1890 - 1945.</w:t>
      </w:r>
      <w:r w:rsidRPr="00AE2284">
        <w:rPr>
          <w:rFonts w:ascii="Garamond" w:hAnsi="Garamond"/>
          <w:noProof/>
        </w:rPr>
        <w:t xml:space="preserve"> New York: Hill and Wang</w:t>
      </w:r>
      <w:r>
        <w:rPr>
          <w:rFonts w:ascii="Garamond" w:hAnsi="Garamond"/>
          <w:noProof/>
        </w:rPr>
        <w:t xml:space="preserve">, 1999. </w:t>
      </w:r>
    </w:p>
    <w:p w14:paraId="4D356E55"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Samuel, Annie Tracey</w:t>
      </w:r>
      <w:r>
        <w:rPr>
          <w:rFonts w:ascii="Garamond" w:hAnsi="Garamond"/>
          <w:noProof/>
        </w:rPr>
        <w:t>,</w:t>
      </w:r>
      <w:r w:rsidRPr="00AE2284">
        <w:rPr>
          <w:rFonts w:ascii="Garamond" w:hAnsi="Garamond"/>
          <w:noProof/>
        </w:rPr>
        <w:t xml:space="preserve"> "Wars, The Open Door and U.S. Policy in Iraq between the World." </w:t>
      </w:r>
      <w:r w:rsidRPr="00AE2284">
        <w:rPr>
          <w:rFonts w:ascii="Garamond" w:hAnsi="Garamond"/>
          <w:i/>
          <w:iCs/>
          <w:noProof/>
        </w:rPr>
        <w:t>Diplomatic History</w:t>
      </w:r>
      <w:r>
        <w:rPr>
          <w:rFonts w:ascii="Garamond" w:hAnsi="Garamond"/>
          <w:noProof/>
        </w:rPr>
        <w:t xml:space="preserve"> 38, no. 5 (2014): </w:t>
      </w:r>
      <w:r w:rsidRPr="00AE2284">
        <w:rPr>
          <w:rFonts w:ascii="Garamond" w:hAnsi="Garamond"/>
          <w:noProof/>
        </w:rPr>
        <w:t>926 - 952.</w:t>
      </w:r>
    </w:p>
    <w:p w14:paraId="15D684C7"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Saul, Norman E.</w:t>
      </w:r>
      <w:r>
        <w:rPr>
          <w:rFonts w:ascii="Garamond" w:hAnsi="Garamond"/>
          <w:noProof/>
        </w:rPr>
        <w:t>,</w:t>
      </w:r>
      <w:r w:rsidRPr="00AE2284">
        <w:rPr>
          <w:rFonts w:ascii="Garamond" w:hAnsi="Garamond"/>
          <w:noProof/>
        </w:rPr>
        <w:t xml:space="preserve"> </w:t>
      </w:r>
      <w:r w:rsidRPr="00AE2284">
        <w:rPr>
          <w:rFonts w:ascii="Garamond" w:hAnsi="Garamond"/>
          <w:i/>
          <w:iCs/>
          <w:noProof/>
        </w:rPr>
        <w:t>The Life and Times of Charles R. Crane, 1858 - 1939: American businessman, philanthropist, and a founder of Russian studies in America .</w:t>
      </w:r>
      <w:r w:rsidRPr="00AE2284">
        <w:rPr>
          <w:rFonts w:ascii="Garamond" w:hAnsi="Garamond"/>
          <w:noProof/>
        </w:rPr>
        <w:t xml:space="preserve"> Lanham: Lexington Books</w:t>
      </w:r>
      <w:r>
        <w:rPr>
          <w:rFonts w:ascii="Garamond" w:hAnsi="Garamond"/>
          <w:noProof/>
        </w:rPr>
        <w:t xml:space="preserve">, 2013. </w:t>
      </w:r>
    </w:p>
    <w:p w14:paraId="61B08E39"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Sluglett, P</w:t>
      </w:r>
      <w:r>
        <w:rPr>
          <w:rFonts w:ascii="Garamond" w:hAnsi="Garamond"/>
          <w:noProof/>
        </w:rPr>
        <w:t>aul,</w:t>
      </w:r>
      <w:r w:rsidRPr="00AE2284">
        <w:rPr>
          <w:rFonts w:ascii="Garamond" w:hAnsi="Garamond"/>
          <w:noProof/>
        </w:rPr>
        <w:t xml:space="preserve"> </w:t>
      </w:r>
      <w:r w:rsidRPr="00AE2284">
        <w:rPr>
          <w:rFonts w:ascii="Garamond" w:hAnsi="Garamond"/>
          <w:i/>
          <w:iCs/>
          <w:noProof/>
        </w:rPr>
        <w:t>Britain in Iraq: 1914 - 1934.</w:t>
      </w:r>
      <w:r w:rsidRPr="00AE2284">
        <w:rPr>
          <w:rFonts w:ascii="Garamond" w:hAnsi="Garamond"/>
          <w:noProof/>
        </w:rPr>
        <w:t xml:space="preserve"> London: Ithaca Press</w:t>
      </w:r>
      <w:r>
        <w:rPr>
          <w:rFonts w:ascii="Garamond" w:hAnsi="Garamond"/>
          <w:noProof/>
        </w:rPr>
        <w:t xml:space="preserve">, </w:t>
      </w:r>
      <w:r w:rsidRPr="00AE2284">
        <w:rPr>
          <w:rFonts w:ascii="Garamond" w:hAnsi="Garamond"/>
          <w:noProof/>
        </w:rPr>
        <w:t>1976</w:t>
      </w:r>
      <w:r>
        <w:rPr>
          <w:rFonts w:ascii="Garamond" w:hAnsi="Garamond"/>
          <w:noProof/>
        </w:rPr>
        <w:t xml:space="preserve">. </w:t>
      </w:r>
    </w:p>
    <w:p w14:paraId="4D4D08EF" w14:textId="3EC03EF4" w:rsidR="00F56E17" w:rsidRPr="00AE2284" w:rsidRDefault="00F56E17" w:rsidP="00F56E17">
      <w:pPr>
        <w:pStyle w:val="Bibliography"/>
        <w:ind w:left="720" w:hanging="720"/>
        <w:rPr>
          <w:rFonts w:ascii="Garamond" w:hAnsi="Garamond"/>
          <w:noProof/>
        </w:rPr>
      </w:pPr>
      <w:r>
        <w:rPr>
          <w:rFonts w:ascii="Garamond" w:hAnsi="Garamond"/>
          <w:noProof/>
        </w:rPr>
        <w:t xml:space="preserve">Standard Oil. </w:t>
      </w:r>
      <w:r w:rsidRPr="00AE2284">
        <w:rPr>
          <w:rFonts w:ascii="Garamond" w:hAnsi="Garamond"/>
          <w:noProof/>
        </w:rPr>
        <w:t>"The Standard Oil Co. of New York to the Acting Secretary of State</w:t>
      </w:r>
      <w:r>
        <w:rPr>
          <w:rFonts w:ascii="Garamond" w:hAnsi="Garamond"/>
          <w:noProof/>
        </w:rPr>
        <w:t>,</w:t>
      </w:r>
      <w:r w:rsidRPr="00AE2284">
        <w:rPr>
          <w:rFonts w:ascii="Garamond" w:hAnsi="Garamond"/>
          <w:noProof/>
        </w:rPr>
        <w:t>" March 1</w:t>
      </w:r>
      <w:r w:rsidR="0071695F">
        <w:rPr>
          <w:rFonts w:ascii="Garamond" w:hAnsi="Garamond"/>
          <w:noProof/>
        </w:rPr>
        <w:t>5</w:t>
      </w:r>
      <w:r>
        <w:rPr>
          <w:rFonts w:ascii="Garamond" w:hAnsi="Garamond"/>
          <w:noProof/>
        </w:rPr>
        <w:t>, 1919.</w:t>
      </w:r>
      <w:r w:rsidRPr="00AE2284">
        <w:rPr>
          <w:rFonts w:ascii="Garamond" w:hAnsi="Garamond"/>
          <w:noProof/>
        </w:rPr>
        <w:t xml:space="preserve"> Oil concessions in Palestine and Mesopotamia, Volume II, 1919, Papers Relating to Foreign Relations of the United States, </w:t>
      </w:r>
      <w:r>
        <w:rPr>
          <w:rFonts w:ascii="Garamond" w:hAnsi="Garamond"/>
          <w:noProof/>
        </w:rPr>
        <w:t xml:space="preserve">Document </w:t>
      </w:r>
      <w:r w:rsidRPr="00AE2284">
        <w:rPr>
          <w:rFonts w:ascii="Garamond" w:hAnsi="Garamond"/>
          <w:noProof/>
        </w:rPr>
        <w:t>198</w:t>
      </w:r>
      <w:r>
        <w:rPr>
          <w:rFonts w:ascii="Garamond" w:hAnsi="Garamond"/>
          <w:noProof/>
        </w:rPr>
        <w:t xml:space="preserve">,  </w:t>
      </w:r>
      <w:r w:rsidRPr="007E7C01">
        <w:rPr>
          <w:rFonts w:ascii="Garamond" w:hAnsi="Garamond"/>
          <w:noProof/>
        </w:rPr>
        <w:t>467.11St25/32</w:t>
      </w:r>
      <w:r>
        <w:rPr>
          <w:rFonts w:ascii="Garamond" w:hAnsi="Garamond"/>
          <w:noProof/>
        </w:rPr>
        <w:t xml:space="preserve"> </w:t>
      </w:r>
      <w:hyperlink r:id="rId18" w:history="1">
        <w:r w:rsidRPr="000615CB">
          <w:rPr>
            <w:rStyle w:val="Hyperlink"/>
            <w:rFonts w:ascii="Garamond" w:hAnsi="Garamond"/>
            <w:noProof/>
          </w:rPr>
          <w:t>https://history.state.gov/historicaldocuments/frus1919v02/d198</w:t>
        </w:r>
      </w:hyperlink>
      <w:r>
        <w:rPr>
          <w:rFonts w:ascii="Garamond" w:hAnsi="Garamond"/>
          <w:noProof/>
        </w:rPr>
        <w:t xml:space="preserve"> </w:t>
      </w:r>
      <w:r w:rsidRPr="00AE2284">
        <w:rPr>
          <w:rFonts w:ascii="Garamond" w:hAnsi="Garamond"/>
          <w:noProof/>
        </w:rPr>
        <w:t>.</w:t>
      </w:r>
    </w:p>
    <w:p w14:paraId="1F5C85B4"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 xml:space="preserve">Stivers, William. "International Politics and Iraqi Oil, 1918-1928: A Study in Anglo-American Diplomacy." </w:t>
      </w:r>
      <w:r w:rsidRPr="00AE2284">
        <w:rPr>
          <w:rFonts w:ascii="Garamond" w:hAnsi="Garamond"/>
          <w:i/>
          <w:iCs/>
          <w:noProof/>
        </w:rPr>
        <w:t>The Business History Review</w:t>
      </w:r>
      <w:r>
        <w:rPr>
          <w:rFonts w:ascii="Garamond" w:hAnsi="Garamond"/>
          <w:i/>
          <w:iCs/>
          <w:noProof/>
        </w:rPr>
        <w:t xml:space="preserve"> </w:t>
      </w:r>
      <w:r>
        <w:rPr>
          <w:rFonts w:ascii="Garamond" w:hAnsi="Garamond"/>
          <w:noProof/>
        </w:rPr>
        <w:t>55, no. 4</w:t>
      </w:r>
      <w:r>
        <w:rPr>
          <w:rFonts w:ascii="Garamond" w:hAnsi="Garamond"/>
          <w:i/>
          <w:iCs/>
          <w:noProof/>
        </w:rPr>
        <w:t xml:space="preserve"> </w:t>
      </w:r>
      <w:r>
        <w:rPr>
          <w:rFonts w:ascii="Garamond" w:hAnsi="Garamond"/>
          <w:noProof/>
        </w:rPr>
        <w:t>(</w:t>
      </w:r>
      <w:r w:rsidRPr="00AE2284">
        <w:rPr>
          <w:rFonts w:ascii="Garamond" w:hAnsi="Garamond"/>
          <w:noProof/>
        </w:rPr>
        <w:t>1981</w:t>
      </w:r>
      <w:r>
        <w:rPr>
          <w:rFonts w:ascii="Garamond" w:hAnsi="Garamond"/>
          <w:noProof/>
        </w:rPr>
        <w:t xml:space="preserve">): </w:t>
      </w:r>
      <w:r w:rsidRPr="00AE2284">
        <w:rPr>
          <w:rFonts w:ascii="Garamond" w:hAnsi="Garamond"/>
          <w:noProof/>
        </w:rPr>
        <w:t>517 - 540 .</w:t>
      </w:r>
    </w:p>
    <w:p w14:paraId="3B820BCE" w14:textId="30A3F143" w:rsidR="00F56E17" w:rsidRDefault="00F56E17" w:rsidP="00F56E17">
      <w:pPr>
        <w:pStyle w:val="Bibliography"/>
        <w:ind w:left="720" w:hanging="720"/>
        <w:rPr>
          <w:rFonts w:ascii="Garamond" w:hAnsi="Garamond"/>
          <w:noProof/>
        </w:rPr>
      </w:pPr>
      <w:r w:rsidRPr="00AE2284">
        <w:rPr>
          <w:rFonts w:ascii="Garamond" w:hAnsi="Garamond"/>
          <w:noProof/>
        </w:rPr>
        <w:t>Terry, Janice</w:t>
      </w:r>
      <w:r>
        <w:rPr>
          <w:rFonts w:ascii="Garamond" w:hAnsi="Garamond"/>
          <w:noProof/>
        </w:rPr>
        <w:t>,</w:t>
      </w:r>
      <w:r w:rsidRPr="00AE2284">
        <w:rPr>
          <w:rFonts w:ascii="Garamond" w:hAnsi="Garamond"/>
          <w:noProof/>
        </w:rPr>
        <w:t xml:space="preserve"> </w:t>
      </w:r>
      <w:r w:rsidRPr="00AE2284">
        <w:rPr>
          <w:rFonts w:ascii="Garamond" w:hAnsi="Garamond"/>
          <w:i/>
          <w:iCs/>
          <w:noProof/>
        </w:rPr>
        <w:t>William Yale: Witness to Partition in the Middle East, WWI - WWII.</w:t>
      </w:r>
      <w:r w:rsidRPr="00AE2284">
        <w:rPr>
          <w:rFonts w:ascii="Garamond" w:hAnsi="Garamond"/>
          <w:noProof/>
        </w:rPr>
        <w:t xml:space="preserve"> Cyprus : Rimal Publications</w:t>
      </w:r>
      <w:r>
        <w:rPr>
          <w:rFonts w:ascii="Garamond" w:hAnsi="Garamond"/>
          <w:noProof/>
        </w:rPr>
        <w:t xml:space="preserve">, </w:t>
      </w:r>
      <w:r w:rsidRPr="00AE2284">
        <w:rPr>
          <w:rFonts w:ascii="Garamond" w:hAnsi="Garamond"/>
          <w:noProof/>
        </w:rPr>
        <w:t>2015</w:t>
      </w:r>
      <w:r>
        <w:rPr>
          <w:rFonts w:ascii="Garamond" w:hAnsi="Garamond"/>
          <w:noProof/>
        </w:rPr>
        <w:t xml:space="preserve">. </w:t>
      </w:r>
    </w:p>
    <w:p w14:paraId="0013F563" w14:textId="77777777" w:rsidR="00B75370" w:rsidRDefault="00161B97" w:rsidP="005201C9">
      <w:pPr>
        <w:rPr>
          <w:rFonts w:ascii="Garamond" w:hAnsi="Garamond"/>
        </w:rPr>
      </w:pPr>
      <w:r w:rsidRPr="00680558">
        <w:rPr>
          <w:rFonts w:ascii="Garamond" w:hAnsi="Garamond"/>
        </w:rPr>
        <w:t>The Covenant of the Leag</w:t>
      </w:r>
      <w:r>
        <w:rPr>
          <w:rFonts w:ascii="Garamond" w:hAnsi="Garamond"/>
        </w:rPr>
        <w:t xml:space="preserve">ue of Nations. The Avalon Project. Yale Law School Library. New Haven, </w:t>
      </w:r>
    </w:p>
    <w:p w14:paraId="7849AC87" w14:textId="5E2FAA7B" w:rsidR="00B75370" w:rsidRPr="00680558" w:rsidRDefault="00161B97" w:rsidP="00680558">
      <w:pPr>
        <w:ind w:firstLine="720"/>
        <w:rPr>
          <w:rFonts w:ascii="Garamond" w:hAnsi="Garamond"/>
        </w:rPr>
      </w:pPr>
      <w:r>
        <w:rPr>
          <w:rFonts w:ascii="Garamond" w:hAnsi="Garamond"/>
        </w:rPr>
        <w:t xml:space="preserve">CT. </w:t>
      </w:r>
      <w:hyperlink r:id="rId19" w:history="1">
        <w:r w:rsidR="00B75370" w:rsidRPr="00F96A48">
          <w:rPr>
            <w:rStyle w:val="Hyperlink"/>
            <w:rFonts w:ascii="Garamond" w:hAnsi="Garamond"/>
          </w:rPr>
          <w:t>https://avalon.law.yale.edu/20th_century/leagcov.asp</w:t>
        </w:r>
      </w:hyperlink>
    </w:p>
    <w:p w14:paraId="224CF952" w14:textId="3FDDCC2C" w:rsidR="00DE606C" w:rsidRPr="00DE606C" w:rsidRDefault="00F56E17" w:rsidP="00680558">
      <w:pPr>
        <w:pStyle w:val="Bibliography"/>
        <w:ind w:left="720" w:hanging="720"/>
      </w:pPr>
      <w:r>
        <w:rPr>
          <w:rFonts w:ascii="Garamond" w:hAnsi="Garamond"/>
          <w:noProof/>
        </w:rPr>
        <w:t xml:space="preserve">Thomas, Lucien I., </w:t>
      </w:r>
      <w:r w:rsidRPr="00AE2284">
        <w:rPr>
          <w:rFonts w:ascii="Garamond" w:hAnsi="Garamond"/>
          <w:noProof/>
        </w:rPr>
        <w:t>"The Vice President of the Standard Oil Company of New York (L. I. Thomas) to the Secretary of State,." January 1921</w:t>
      </w:r>
      <w:r>
        <w:rPr>
          <w:rFonts w:ascii="Garamond" w:hAnsi="Garamond"/>
          <w:noProof/>
        </w:rPr>
        <w:t>.</w:t>
      </w:r>
      <w:r w:rsidRPr="00AE2284">
        <w:rPr>
          <w:rFonts w:ascii="Garamond" w:hAnsi="Garamond"/>
          <w:noProof/>
        </w:rPr>
        <w:t xml:space="preserve"> Greece, Volume II, Papers Relating to the Foreign Relations of the United States, </w:t>
      </w:r>
      <w:r>
        <w:rPr>
          <w:rFonts w:ascii="Garamond" w:hAnsi="Garamond"/>
          <w:noProof/>
        </w:rPr>
        <w:t xml:space="preserve">Document 138, </w:t>
      </w:r>
      <w:r w:rsidRPr="00AE2284">
        <w:rPr>
          <w:rFonts w:ascii="Garamond" w:hAnsi="Garamond"/>
          <w:noProof/>
        </w:rPr>
        <w:t xml:space="preserve"> </w:t>
      </w:r>
      <w:r w:rsidRPr="007E7C01">
        <w:rPr>
          <w:rFonts w:ascii="Garamond" w:hAnsi="Garamond"/>
          <w:noProof/>
        </w:rPr>
        <w:t>467.11 Vacuum Oil Co./120</w:t>
      </w:r>
      <w:r>
        <w:rPr>
          <w:rFonts w:ascii="Garamond" w:hAnsi="Garamond"/>
          <w:noProof/>
        </w:rPr>
        <w:t xml:space="preserve"> </w:t>
      </w:r>
      <w:hyperlink r:id="rId20" w:history="1">
        <w:r w:rsidRPr="000615CB">
          <w:rPr>
            <w:rStyle w:val="Hyperlink"/>
            <w:rFonts w:ascii="Garamond" w:hAnsi="Garamond"/>
            <w:noProof/>
          </w:rPr>
          <w:t>https://history.state.gov/historicaldocuments/frus1921v02/d138</w:t>
        </w:r>
      </w:hyperlink>
      <w:r>
        <w:rPr>
          <w:rFonts w:ascii="Garamond" w:hAnsi="Garamond"/>
          <w:noProof/>
        </w:rPr>
        <w:t xml:space="preserve"> </w:t>
      </w:r>
    </w:p>
    <w:p w14:paraId="138C8A2E" w14:textId="4398AEB6" w:rsidR="00B75370" w:rsidRDefault="00B75370" w:rsidP="00733E17">
      <w:pPr>
        <w:pStyle w:val="Bibliography"/>
        <w:ind w:left="720" w:hanging="720"/>
        <w:rPr>
          <w:rFonts w:ascii="Garamond" w:hAnsi="Garamond"/>
          <w:noProof/>
        </w:rPr>
      </w:pPr>
      <w:r>
        <w:rPr>
          <w:rFonts w:ascii="Garamond" w:hAnsi="Garamond"/>
          <w:noProof/>
        </w:rPr>
        <w:t xml:space="preserve">Thrall, Lloyd. </w:t>
      </w:r>
      <w:r w:rsidRPr="00B75370">
        <w:rPr>
          <w:rFonts w:ascii="Garamond" w:hAnsi="Garamond"/>
          <w:noProof/>
        </w:rPr>
        <w:t>“The Relationship between Natural Resources and Tensions in China’s Maritime Periphery,” 2013. </w:t>
      </w:r>
      <w:r w:rsidR="00AE00CA">
        <w:rPr>
          <w:rFonts w:ascii="Garamond" w:hAnsi="Garamond"/>
          <w:noProof/>
        </w:rPr>
        <w:t>Testimony before U.S. – China Economic and Security Commission</w:t>
      </w:r>
    </w:p>
    <w:p w14:paraId="651CB5D7" w14:textId="02B27704" w:rsidR="00F56E17" w:rsidRDefault="00F56E17" w:rsidP="00F56E17">
      <w:pPr>
        <w:pStyle w:val="Bibliography"/>
        <w:ind w:left="720" w:hanging="720"/>
        <w:rPr>
          <w:rFonts w:ascii="Garamond" w:hAnsi="Garamond"/>
          <w:noProof/>
        </w:rPr>
      </w:pPr>
      <w:r w:rsidRPr="00AE2284">
        <w:rPr>
          <w:rFonts w:ascii="Garamond" w:hAnsi="Garamond"/>
          <w:noProof/>
        </w:rPr>
        <w:t>Transcript of Albert Lybyer's Diary, March to September 1919." King - Crane Commission Digital Collection, Oberlin College, Ohio.</w:t>
      </w:r>
    </w:p>
    <w:p w14:paraId="6009E434" w14:textId="77777777" w:rsidR="002D2DC9" w:rsidRDefault="002D2DC9" w:rsidP="002D2DC9">
      <w:pPr>
        <w:rPr>
          <w:rFonts w:ascii="Garamond" w:hAnsi="Garamond"/>
          <w:i/>
          <w:iCs/>
        </w:rPr>
      </w:pPr>
      <w:r w:rsidRPr="002D2DC9">
        <w:rPr>
          <w:rFonts w:ascii="Garamond" w:hAnsi="Garamond"/>
        </w:rPr>
        <w:t>Weinberger , John. Rep. </w:t>
      </w:r>
      <w:r w:rsidRPr="002D2DC9">
        <w:rPr>
          <w:rFonts w:ascii="Garamond" w:hAnsi="Garamond"/>
          <w:i/>
          <w:iCs/>
        </w:rPr>
        <w:t xml:space="preserve">China Seeks to Dominate Off-Shore Energy Resources in the South and East China </w:t>
      </w:r>
    </w:p>
    <w:p w14:paraId="4DE30150" w14:textId="256CF543" w:rsidR="002D2DC9" w:rsidRPr="002D2DC9" w:rsidRDefault="002D2DC9" w:rsidP="00680558">
      <w:pPr>
        <w:ind w:firstLine="720"/>
        <w:rPr>
          <w:rFonts w:ascii="Garamond" w:hAnsi="Garamond"/>
        </w:rPr>
      </w:pPr>
      <w:r w:rsidRPr="002D2DC9">
        <w:rPr>
          <w:rFonts w:ascii="Garamond" w:hAnsi="Garamond"/>
          <w:i/>
          <w:iCs/>
        </w:rPr>
        <w:t>Seas</w:t>
      </w:r>
      <w:r w:rsidRPr="002D2DC9">
        <w:rPr>
          <w:rFonts w:ascii="Garamond" w:hAnsi="Garamond"/>
        </w:rPr>
        <w:t>. International Association for Energy Economists , 2015. </w:t>
      </w:r>
    </w:p>
    <w:p w14:paraId="50EA1CD5" w14:textId="77777777" w:rsidR="002D2DC9" w:rsidRDefault="00F56E17" w:rsidP="002D2DC9">
      <w:pPr>
        <w:pStyle w:val="Bibliography"/>
        <w:rPr>
          <w:rFonts w:ascii="Garamond" w:hAnsi="Garamond"/>
          <w:noProof/>
        </w:rPr>
      </w:pPr>
      <w:r>
        <w:rPr>
          <w:rFonts w:ascii="Garamond" w:hAnsi="Garamond"/>
          <w:noProof/>
        </w:rPr>
        <w:t xml:space="preserve">Westermann, William. </w:t>
      </w:r>
      <w:r w:rsidRPr="00AE2284">
        <w:rPr>
          <w:rFonts w:ascii="Garamond" w:hAnsi="Garamond"/>
          <w:noProof/>
        </w:rPr>
        <w:t xml:space="preserve">Typescript of Dr. Westermann's personal diary: April 20, 1919 - July 4, 1919. </w:t>
      </w:r>
    </w:p>
    <w:p w14:paraId="1978E6A7" w14:textId="13AF8E13" w:rsidR="00F56E17" w:rsidRPr="00AE2284" w:rsidRDefault="00F56E17" w:rsidP="00680558">
      <w:pPr>
        <w:pStyle w:val="Bibliography"/>
        <w:ind w:firstLine="720"/>
        <w:rPr>
          <w:rFonts w:ascii="Garamond" w:hAnsi="Garamond"/>
          <w:noProof/>
        </w:rPr>
      </w:pPr>
      <w:r w:rsidRPr="00AE2284">
        <w:rPr>
          <w:rFonts w:ascii="Garamond" w:hAnsi="Garamond"/>
          <w:noProof/>
        </w:rPr>
        <w:t>Rare Book and Manuscript Library, Columbia University, N.Y., New York.</w:t>
      </w:r>
    </w:p>
    <w:p w14:paraId="4E355D93"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lastRenderedPageBreak/>
        <w:t xml:space="preserve">Wheeler, G. E. "Russia and the Middle East ." </w:t>
      </w:r>
      <w:r w:rsidRPr="00AE2284">
        <w:rPr>
          <w:rFonts w:ascii="Garamond" w:hAnsi="Garamond"/>
          <w:i/>
          <w:iCs/>
          <w:noProof/>
        </w:rPr>
        <w:t>International Affairs</w:t>
      </w:r>
      <w:r>
        <w:rPr>
          <w:rFonts w:ascii="Garamond" w:hAnsi="Garamond"/>
          <w:i/>
          <w:iCs/>
          <w:noProof/>
        </w:rPr>
        <w:t xml:space="preserve"> </w:t>
      </w:r>
      <w:r>
        <w:rPr>
          <w:rFonts w:ascii="Garamond" w:hAnsi="Garamond"/>
          <w:noProof/>
        </w:rPr>
        <w:t xml:space="preserve">35, no. 3. (July </w:t>
      </w:r>
      <w:r w:rsidRPr="00AE2284">
        <w:rPr>
          <w:rFonts w:ascii="Garamond" w:hAnsi="Garamond"/>
          <w:noProof/>
        </w:rPr>
        <w:t>1959</w:t>
      </w:r>
      <w:r>
        <w:rPr>
          <w:rFonts w:ascii="Garamond" w:hAnsi="Garamond"/>
          <w:noProof/>
        </w:rPr>
        <w:t xml:space="preserve">): </w:t>
      </w:r>
      <w:r w:rsidRPr="00AE2284">
        <w:rPr>
          <w:rFonts w:ascii="Garamond" w:hAnsi="Garamond"/>
          <w:i/>
          <w:iCs/>
          <w:noProof/>
        </w:rPr>
        <w:t xml:space="preserve"> </w:t>
      </w:r>
      <w:r w:rsidRPr="00AE2284">
        <w:rPr>
          <w:rFonts w:ascii="Garamond" w:hAnsi="Garamond"/>
          <w:noProof/>
        </w:rPr>
        <w:t xml:space="preserve">295 </w:t>
      </w:r>
      <w:r>
        <w:rPr>
          <w:rFonts w:ascii="Garamond" w:hAnsi="Garamond"/>
          <w:noProof/>
        </w:rPr>
        <w:t>–</w:t>
      </w:r>
      <w:r w:rsidRPr="00AE2284">
        <w:rPr>
          <w:rFonts w:ascii="Garamond" w:hAnsi="Garamond"/>
          <w:noProof/>
        </w:rPr>
        <w:t xml:space="preserve"> 304</w:t>
      </w:r>
      <w:r>
        <w:rPr>
          <w:rFonts w:ascii="Garamond" w:hAnsi="Garamond"/>
          <w:noProof/>
        </w:rPr>
        <w:t xml:space="preserve">. </w:t>
      </w:r>
    </w:p>
    <w:p w14:paraId="7053A020" w14:textId="77777777" w:rsidR="00F56E17" w:rsidRPr="00AE2284" w:rsidRDefault="00F56E17" w:rsidP="00F56E17">
      <w:pPr>
        <w:pStyle w:val="Bibliography"/>
        <w:ind w:left="720" w:hanging="720"/>
        <w:rPr>
          <w:rFonts w:ascii="Garamond" w:hAnsi="Garamond"/>
          <w:noProof/>
        </w:rPr>
      </w:pPr>
      <w:r w:rsidRPr="00AE2284">
        <w:rPr>
          <w:rFonts w:ascii="Garamond" w:hAnsi="Garamond"/>
          <w:noProof/>
        </w:rPr>
        <w:t>Wilson, Joan H</w:t>
      </w:r>
      <w:r>
        <w:rPr>
          <w:rFonts w:ascii="Garamond" w:hAnsi="Garamond"/>
          <w:noProof/>
        </w:rPr>
        <w:t>.,</w:t>
      </w:r>
      <w:r w:rsidRPr="00AE2284">
        <w:rPr>
          <w:rFonts w:ascii="Garamond" w:hAnsi="Garamond"/>
          <w:noProof/>
        </w:rPr>
        <w:t xml:space="preserve"> </w:t>
      </w:r>
      <w:r w:rsidRPr="00AE2284">
        <w:rPr>
          <w:rFonts w:ascii="Garamond" w:hAnsi="Garamond"/>
          <w:i/>
          <w:iCs/>
          <w:noProof/>
        </w:rPr>
        <w:t>American Business and Foreign Policy 1920 - 1933.</w:t>
      </w:r>
      <w:r w:rsidRPr="00AE2284">
        <w:rPr>
          <w:rFonts w:ascii="Garamond" w:hAnsi="Garamond"/>
          <w:noProof/>
        </w:rPr>
        <w:t xml:space="preserve"> New York: Beacon</w:t>
      </w:r>
      <w:r>
        <w:rPr>
          <w:rFonts w:ascii="Garamond" w:hAnsi="Garamond"/>
          <w:noProof/>
        </w:rPr>
        <w:t xml:space="preserve">, </w:t>
      </w:r>
      <w:r w:rsidRPr="00AE2284">
        <w:rPr>
          <w:rFonts w:ascii="Garamond" w:hAnsi="Garamond"/>
          <w:noProof/>
        </w:rPr>
        <w:t>1971</w:t>
      </w:r>
      <w:r>
        <w:rPr>
          <w:rFonts w:ascii="Garamond" w:hAnsi="Garamond"/>
          <w:noProof/>
        </w:rPr>
        <w:t xml:space="preserve">. </w:t>
      </w:r>
    </w:p>
    <w:p w14:paraId="5332CFA7"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Yale, William Memorandum titled </w:t>
      </w:r>
      <w:r w:rsidRPr="00AE2284">
        <w:rPr>
          <w:rFonts w:ascii="Garamond" w:hAnsi="Garamond"/>
          <w:noProof/>
        </w:rPr>
        <w:t>"Memorandum by W</w:t>
      </w:r>
      <w:r>
        <w:rPr>
          <w:rFonts w:ascii="Garamond" w:hAnsi="Garamond"/>
          <w:noProof/>
        </w:rPr>
        <w:t>i</w:t>
      </w:r>
      <w:r w:rsidRPr="00AE2284">
        <w:rPr>
          <w:rFonts w:ascii="Garamond" w:hAnsi="Garamond"/>
          <w:noProof/>
        </w:rPr>
        <w:t>lliam Yale Concering O</w:t>
      </w:r>
      <w:r>
        <w:rPr>
          <w:rFonts w:ascii="Garamond" w:hAnsi="Garamond"/>
          <w:noProof/>
        </w:rPr>
        <w:t>i</w:t>
      </w:r>
      <w:r w:rsidRPr="00AE2284">
        <w:rPr>
          <w:rFonts w:ascii="Garamond" w:hAnsi="Garamond"/>
          <w:noProof/>
        </w:rPr>
        <w:t xml:space="preserve">l ." King-Crane Commission Digital Collection, Oberlin College, </w:t>
      </w:r>
      <w:r>
        <w:rPr>
          <w:rFonts w:ascii="Garamond" w:hAnsi="Garamond"/>
          <w:noProof/>
        </w:rPr>
        <w:t xml:space="preserve">Oberlin, Ohio. </w:t>
      </w:r>
    </w:p>
    <w:p w14:paraId="5F552663"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Yale, William. Document titled </w:t>
      </w:r>
      <w:r w:rsidRPr="00AE2284">
        <w:rPr>
          <w:rFonts w:ascii="Garamond" w:hAnsi="Garamond"/>
          <w:noProof/>
        </w:rPr>
        <w:t>"</w:t>
      </w:r>
      <w:r>
        <w:rPr>
          <w:rFonts w:ascii="Garamond" w:hAnsi="Garamond"/>
          <w:noProof/>
        </w:rPr>
        <w:t>Suggested Answers to Attached Questionnaire,</w:t>
      </w:r>
      <w:r w:rsidRPr="00AE2284">
        <w:rPr>
          <w:rFonts w:ascii="Garamond" w:hAnsi="Garamond"/>
          <w:noProof/>
        </w:rPr>
        <w:t xml:space="preserve">" </w:t>
      </w:r>
      <w:r>
        <w:rPr>
          <w:rFonts w:ascii="Garamond" w:hAnsi="Garamond"/>
          <w:noProof/>
        </w:rPr>
        <w:t xml:space="preserve">1919,  </w:t>
      </w:r>
      <w:r w:rsidRPr="00AE2284">
        <w:rPr>
          <w:rFonts w:ascii="Garamond" w:hAnsi="Garamond"/>
          <w:noProof/>
        </w:rPr>
        <w:t>King-Crane Commission Digital Archive, Oberlin College, Ohio, May 1.</w:t>
      </w:r>
    </w:p>
    <w:p w14:paraId="60AE934E"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Yale, William. </w:t>
      </w:r>
      <w:r w:rsidRPr="00AE2284">
        <w:rPr>
          <w:rFonts w:ascii="Garamond" w:hAnsi="Garamond"/>
          <w:noProof/>
        </w:rPr>
        <w:t>Memorandum by William Yale titled "Preserving the Open door to the oil fields of the world"</w:t>
      </w:r>
      <w:r>
        <w:rPr>
          <w:rFonts w:ascii="Garamond" w:hAnsi="Garamond"/>
          <w:noProof/>
        </w:rPr>
        <w:t xml:space="preserve"> May 1919, </w:t>
      </w:r>
      <w:r w:rsidRPr="00AE2284">
        <w:rPr>
          <w:rFonts w:ascii="Garamond" w:hAnsi="Garamond"/>
          <w:noProof/>
        </w:rPr>
        <w:t>William Yale Papers</w:t>
      </w:r>
      <w:r>
        <w:rPr>
          <w:rFonts w:ascii="Garamond" w:hAnsi="Garamond"/>
          <w:noProof/>
        </w:rPr>
        <w:t>.</w:t>
      </w:r>
      <w:r w:rsidRPr="00AE2284">
        <w:rPr>
          <w:rFonts w:ascii="Garamond" w:hAnsi="Garamond"/>
          <w:noProof/>
        </w:rPr>
        <w:t xml:space="preserve"> Yale University</w:t>
      </w:r>
      <w:r>
        <w:rPr>
          <w:rFonts w:ascii="Garamond" w:hAnsi="Garamond"/>
          <w:noProof/>
        </w:rPr>
        <w:t xml:space="preserve">. New Haven, CT. </w:t>
      </w:r>
    </w:p>
    <w:p w14:paraId="24561465"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Yale, William. </w:t>
      </w:r>
      <w:r w:rsidRPr="00AE2284">
        <w:rPr>
          <w:rFonts w:ascii="Garamond" w:hAnsi="Garamond"/>
          <w:noProof/>
        </w:rPr>
        <w:t>Report by William Yale entitled "Arab Empire Proapganda</w:t>
      </w:r>
      <w:r>
        <w:rPr>
          <w:rFonts w:ascii="Garamond" w:hAnsi="Garamond"/>
          <w:noProof/>
        </w:rPr>
        <w:t>,</w:t>
      </w:r>
      <w:r w:rsidRPr="00AE2284">
        <w:rPr>
          <w:rFonts w:ascii="Garamond" w:hAnsi="Garamond"/>
          <w:noProof/>
        </w:rPr>
        <w:t>" July 1918</w:t>
      </w:r>
      <w:r>
        <w:rPr>
          <w:rFonts w:ascii="Garamond" w:hAnsi="Garamond"/>
          <w:noProof/>
        </w:rPr>
        <w:t xml:space="preserve">, </w:t>
      </w:r>
      <w:r w:rsidRPr="00AE2284">
        <w:rPr>
          <w:rFonts w:ascii="Garamond" w:hAnsi="Garamond"/>
          <w:noProof/>
        </w:rPr>
        <w:t>William Yale Papers, Yale University</w:t>
      </w:r>
      <w:r>
        <w:rPr>
          <w:rFonts w:ascii="Garamond" w:hAnsi="Garamond"/>
          <w:noProof/>
        </w:rPr>
        <w:t xml:space="preserve">, New Haven, CT. </w:t>
      </w:r>
    </w:p>
    <w:p w14:paraId="1559203D"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Yale, William. </w:t>
      </w:r>
      <w:r w:rsidRPr="00AE2284">
        <w:rPr>
          <w:rFonts w:ascii="Garamond" w:hAnsi="Garamond"/>
          <w:noProof/>
        </w:rPr>
        <w:t>Report by William Yale entitled "British Policy in the Near East</w:t>
      </w:r>
      <w:r>
        <w:rPr>
          <w:rFonts w:ascii="Garamond" w:hAnsi="Garamond"/>
          <w:noProof/>
        </w:rPr>
        <w:t>,</w:t>
      </w:r>
      <w:r w:rsidRPr="00AE2284">
        <w:rPr>
          <w:rFonts w:ascii="Garamond" w:hAnsi="Garamond"/>
          <w:noProof/>
        </w:rPr>
        <w:t>" 1917</w:t>
      </w:r>
      <w:r>
        <w:rPr>
          <w:rFonts w:ascii="Garamond" w:hAnsi="Garamond"/>
          <w:noProof/>
        </w:rPr>
        <w:t xml:space="preserve">, </w:t>
      </w:r>
      <w:r w:rsidRPr="00AE2284">
        <w:rPr>
          <w:rFonts w:ascii="Garamond" w:hAnsi="Garamond"/>
          <w:noProof/>
        </w:rPr>
        <w:t>William Yale Papers, Yale University.</w:t>
      </w:r>
    </w:p>
    <w:p w14:paraId="17368AD2"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Yale, William. </w:t>
      </w:r>
      <w:r w:rsidRPr="00AE2284">
        <w:rPr>
          <w:rFonts w:ascii="Garamond" w:hAnsi="Garamond"/>
          <w:noProof/>
        </w:rPr>
        <w:t>Report by William Yale entitled "The Position of the Syrian Question Today</w:t>
      </w:r>
      <w:r>
        <w:rPr>
          <w:rFonts w:ascii="Garamond" w:hAnsi="Garamond"/>
          <w:noProof/>
        </w:rPr>
        <w:t>,</w:t>
      </w:r>
      <w:r w:rsidRPr="00AE2284">
        <w:rPr>
          <w:rFonts w:ascii="Garamond" w:hAnsi="Garamond"/>
          <w:noProof/>
        </w:rPr>
        <w:t>" October 21, 1919</w:t>
      </w:r>
      <w:r>
        <w:rPr>
          <w:rFonts w:ascii="Garamond" w:hAnsi="Garamond"/>
          <w:noProof/>
        </w:rPr>
        <w:t>,</w:t>
      </w:r>
      <w:r w:rsidRPr="00AE2284">
        <w:rPr>
          <w:rFonts w:ascii="Garamond" w:hAnsi="Garamond"/>
          <w:noProof/>
        </w:rPr>
        <w:t xml:space="preserve"> William Yale Papers, University of New Hampshire</w:t>
      </w:r>
      <w:r>
        <w:rPr>
          <w:rFonts w:ascii="Garamond" w:hAnsi="Garamond"/>
          <w:noProof/>
        </w:rPr>
        <w:t xml:space="preserve">, Durham, NH. </w:t>
      </w:r>
    </w:p>
    <w:p w14:paraId="227858C8" w14:textId="77777777" w:rsidR="00F56E17" w:rsidRPr="00AE2284" w:rsidRDefault="00F56E17" w:rsidP="00F56E17">
      <w:pPr>
        <w:pStyle w:val="Bibliography"/>
        <w:ind w:left="720" w:hanging="720"/>
        <w:rPr>
          <w:rFonts w:ascii="Garamond" w:hAnsi="Garamond"/>
          <w:noProof/>
        </w:rPr>
      </w:pPr>
      <w:r>
        <w:rPr>
          <w:rFonts w:ascii="Garamond" w:hAnsi="Garamond"/>
          <w:noProof/>
        </w:rPr>
        <w:t xml:space="preserve">Yale, William. Report titled </w:t>
      </w:r>
      <w:r w:rsidRPr="00AE2284">
        <w:rPr>
          <w:rFonts w:ascii="Garamond" w:hAnsi="Garamond"/>
          <w:noProof/>
        </w:rPr>
        <w:t>"Report by Yale to American Peace Commission (on interviews conducted in London, September 27, 1919 to October 14, 1919)</w:t>
      </w:r>
      <w:r>
        <w:rPr>
          <w:rFonts w:ascii="Garamond" w:hAnsi="Garamond"/>
          <w:noProof/>
        </w:rPr>
        <w:t xml:space="preserve">,” 1919, </w:t>
      </w:r>
      <w:r w:rsidRPr="00AE2284">
        <w:rPr>
          <w:rFonts w:ascii="Garamond" w:hAnsi="Garamond"/>
          <w:noProof/>
        </w:rPr>
        <w:t>William Yale Papers, University of New Hampshire</w:t>
      </w:r>
      <w:r>
        <w:rPr>
          <w:rFonts w:ascii="Garamond" w:hAnsi="Garamond"/>
          <w:noProof/>
        </w:rPr>
        <w:t xml:space="preserve">, Durham, NH. </w:t>
      </w:r>
    </w:p>
    <w:p w14:paraId="3DC793C1" w14:textId="77777777" w:rsidR="00282FDB" w:rsidRDefault="00F56E17" w:rsidP="00F56E17">
      <w:pPr>
        <w:rPr>
          <w:rFonts w:ascii="Garamond" w:hAnsi="Garamond"/>
          <w:noProof/>
        </w:rPr>
      </w:pPr>
      <w:r>
        <w:rPr>
          <w:rFonts w:ascii="Garamond" w:hAnsi="Garamond"/>
          <w:noProof/>
        </w:rPr>
        <w:t xml:space="preserve">Yale, William. Report titled </w:t>
      </w:r>
      <w:r w:rsidRPr="00AE2284">
        <w:rPr>
          <w:rFonts w:ascii="Garamond" w:hAnsi="Garamond"/>
          <w:noProof/>
        </w:rPr>
        <w:t xml:space="preserve">"Report by Yale to American Peace Commission entitled “Position of </w:t>
      </w:r>
    </w:p>
    <w:p w14:paraId="0034A7EE" w14:textId="43225E90" w:rsidR="0030323A" w:rsidRDefault="00F56E17" w:rsidP="00282FDB">
      <w:pPr>
        <w:ind w:left="720"/>
        <w:rPr>
          <w:rFonts w:ascii="Garamond" w:hAnsi="Garamond"/>
          <w:noProof/>
        </w:rPr>
      </w:pPr>
      <w:r w:rsidRPr="00AE2284">
        <w:rPr>
          <w:rFonts w:ascii="Garamond" w:hAnsi="Garamond"/>
          <w:noProof/>
        </w:rPr>
        <w:t>the Syrian Question Today,” October 21, 1919</w:t>
      </w:r>
      <w:r>
        <w:rPr>
          <w:rFonts w:ascii="Garamond" w:hAnsi="Garamond"/>
          <w:noProof/>
        </w:rPr>
        <w:t>,</w:t>
      </w:r>
      <w:r w:rsidRPr="00AE2284">
        <w:rPr>
          <w:rFonts w:ascii="Garamond" w:hAnsi="Garamond"/>
          <w:noProof/>
        </w:rPr>
        <w:t xml:space="preserve"> William Yale Papers, University of New Hampshire</w:t>
      </w:r>
      <w:r>
        <w:rPr>
          <w:rFonts w:ascii="Garamond" w:hAnsi="Garamond"/>
          <w:noProof/>
        </w:rPr>
        <w:t>, Durham, NH.</w:t>
      </w:r>
    </w:p>
    <w:p w14:paraId="189290A2" w14:textId="6211422A" w:rsidR="00282FDB" w:rsidRDefault="00282FDB" w:rsidP="00733E17">
      <w:pPr>
        <w:rPr>
          <w:rStyle w:val="HTMLCite"/>
          <w:rFonts w:ascii="Garamond" w:eastAsiaTheme="majorEastAsia" w:hAnsi="Garamond"/>
          <w:i w:val="0"/>
          <w:iCs w:val="0"/>
        </w:rPr>
      </w:pPr>
      <w:r w:rsidRPr="00680558">
        <w:rPr>
          <w:rStyle w:val="HTMLCite"/>
          <w:rFonts w:ascii="Garamond" w:eastAsiaTheme="majorEastAsia" w:hAnsi="Garamond"/>
          <w:i w:val="0"/>
          <w:iCs w:val="0"/>
        </w:rPr>
        <w:t xml:space="preserve">Yergin, Daniel. </w:t>
      </w:r>
      <w:r w:rsidRPr="00680558">
        <w:rPr>
          <w:rStyle w:val="HTMLCite"/>
          <w:rFonts w:ascii="Garamond" w:eastAsiaTheme="majorEastAsia" w:hAnsi="Garamond"/>
        </w:rPr>
        <w:t>The Prize:</w:t>
      </w:r>
      <w:r>
        <w:rPr>
          <w:rStyle w:val="HTMLCite"/>
          <w:rFonts w:ascii="Garamond" w:eastAsiaTheme="majorEastAsia" w:hAnsi="Garamond"/>
        </w:rPr>
        <w:t xml:space="preserve"> T</w:t>
      </w:r>
      <w:r w:rsidRPr="00680558">
        <w:rPr>
          <w:rStyle w:val="HTMLCite"/>
          <w:rFonts w:ascii="Garamond" w:eastAsiaTheme="majorEastAsia" w:hAnsi="Garamond"/>
        </w:rPr>
        <w:t>he Epic Quest for Oil, Money, &amp; Power.</w:t>
      </w:r>
      <w:r w:rsidRPr="00680558">
        <w:rPr>
          <w:rStyle w:val="HTMLCite"/>
          <w:rFonts w:ascii="Garamond" w:eastAsiaTheme="majorEastAsia" w:hAnsi="Garamond"/>
          <w:i w:val="0"/>
          <w:iCs w:val="0"/>
        </w:rPr>
        <w:t xml:space="preserve"> New York:</w:t>
      </w:r>
      <w:r w:rsidR="0059440A">
        <w:rPr>
          <w:rStyle w:val="HTMLCite"/>
          <w:rFonts w:ascii="Garamond" w:eastAsiaTheme="majorEastAsia" w:hAnsi="Garamond"/>
          <w:i w:val="0"/>
          <w:iCs w:val="0"/>
        </w:rPr>
        <w:t xml:space="preserve"> </w:t>
      </w:r>
      <w:r w:rsidRPr="00680558">
        <w:rPr>
          <w:rStyle w:val="HTMLCite"/>
          <w:rFonts w:ascii="Garamond" w:eastAsiaTheme="majorEastAsia" w:hAnsi="Garamond"/>
          <w:i w:val="0"/>
          <w:iCs w:val="0"/>
        </w:rPr>
        <w:t>Free Press, 2009.</w:t>
      </w:r>
    </w:p>
    <w:p w14:paraId="4B243307" w14:textId="46C6715A" w:rsidR="005341D7" w:rsidRDefault="005341D7" w:rsidP="00733E17">
      <w:pPr>
        <w:rPr>
          <w:rStyle w:val="HTMLCite"/>
          <w:rFonts w:ascii="Garamond" w:eastAsiaTheme="majorEastAsia" w:hAnsi="Garamond"/>
          <w:i w:val="0"/>
          <w:iCs w:val="0"/>
        </w:rPr>
      </w:pPr>
    </w:p>
    <w:p w14:paraId="0F3A0D7E" w14:textId="77777777" w:rsidR="005341D7" w:rsidRDefault="005341D7" w:rsidP="00733E17">
      <w:pPr>
        <w:rPr>
          <w:rStyle w:val="HTMLCite"/>
          <w:rFonts w:ascii="Garamond" w:eastAsiaTheme="majorEastAsia" w:hAnsi="Garamond"/>
          <w:i w:val="0"/>
          <w:iCs w:val="0"/>
        </w:rPr>
      </w:pPr>
    </w:p>
    <w:p w14:paraId="48BF5F93" w14:textId="3BF95C49" w:rsidR="005341D7" w:rsidRPr="00476524" w:rsidRDefault="005341D7" w:rsidP="00476524">
      <w:pPr>
        <w:pStyle w:val="Heading1"/>
        <w:rPr>
          <w:rFonts w:ascii="Garamond" w:hAnsi="Garamond"/>
          <w:color w:val="000000" w:themeColor="text1"/>
          <w:sz w:val="32"/>
          <w:szCs w:val="32"/>
        </w:rPr>
      </w:pPr>
      <w:r w:rsidRPr="00D2691F">
        <w:rPr>
          <w:rFonts w:ascii="Garamond" w:hAnsi="Garamond"/>
          <w:color w:val="000000" w:themeColor="text1"/>
        </w:rPr>
        <w:t>Appendix</w:t>
      </w:r>
      <w:r w:rsidRPr="00D2691F">
        <w:rPr>
          <w:rFonts w:ascii="Garamond" w:hAnsi="Garamond"/>
          <w:color w:val="000000" w:themeColor="text1"/>
          <w:sz w:val="32"/>
          <w:szCs w:val="32"/>
        </w:rPr>
        <w:t xml:space="preserve">  </w:t>
      </w:r>
    </w:p>
    <w:p w14:paraId="70C25E78" w14:textId="77777777" w:rsidR="005341D7" w:rsidRDefault="005341D7" w:rsidP="005341D7">
      <w:pPr>
        <w:rPr>
          <w:rFonts w:ascii="Garamond" w:hAnsi="Garamond"/>
          <w:b/>
          <w:bCs/>
          <w:sz w:val="32"/>
          <w:szCs w:val="32"/>
        </w:rPr>
      </w:pPr>
      <w:r w:rsidRPr="00016CAB">
        <w:rPr>
          <w:rFonts w:ascii="Garamond" w:hAnsi="Garamond"/>
          <w:b/>
          <w:bCs/>
          <w:sz w:val="28"/>
          <w:szCs w:val="28"/>
        </w:rPr>
        <w:t>Addendum</w:t>
      </w:r>
      <w:r>
        <w:rPr>
          <w:rFonts w:ascii="Garamond" w:hAnsi="Garamond"/>
          <w:b/>
          <w:bCs/>
          <w:sz w:val="32"/>
          <w:szCs w:val="32"/>
        </w:rPr>
        <w:t xml:space="preserve"> I. </w:t>
      </w:r>
    </w:p>
    <w:p w14:paraId="6BAF1A27" w14:textId="77777777" w:rsidR="005341D7" w:rsidRDefault="005341D7" w:rsidP="005341D7">
      <w:pPr>
        <w:rPr>
          <w:rFonts w:ascii="Garamond" w:hAnsi="Garamond"/>
          <w:b/>
          <w:bCs/>
          <w:sz w:val="32"/>
          <w:szCs w:val="32"/>
        </w:rPr>
      </w:pPr>
    </w:p>
    <w:p w14:paraId="378B2E0C" w14:textId="77777777" w:rsidR="005341D7" w:rsidRDefault="005341D7" w:rsidP="005341D7">
      <w:pPr>
        <w:spacing w:line="480" w:lineRule="auto"/>
        <w:ind w:firstLine="360"/>
        <w:rPr>
          <w:rFonts w:ascii="Garamond" w:hAnsi="Garamond"/>
        </w:rPr>
      </w:pPr>
      <w:r w:rsidRPr="001B1C7A">
        <w:rPr>
          <w:rFonts w:ascii="Garamond" w:hAnsi="Garamond"/>
          <w:noProof/>
          <w:color w:val="000000" w:themeColor="text1"/>
        </w:rPr>
        <w:drawing>
          <wp:inline distT="0" distB="0" distL="0" distR="0" wp14:anchorId="2144D712" wp14:editId="17EC5BA2">
            <wp:extent cx="3508744" cy="2111993"/>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24031" cy="2121195"/>
                    </a:xfrm>
                    <a:prstGeom prst="rect">
                      <a:avLst/>
                    </a:prstGeom>
                  </pic:spPr>
                </pic:pic>
              </a:graphicData>
            </a:graphic>
          </wp:inline>
        </w:drawing>
      </w:r>
      <w:r>
        <w:rPr>
          <w:rStyle w:val="FootnoteReference"/>
          <w:rFonts w:ascii="Garamond" w:eastAsiaTheme="majorEastAsia" w:hAnsi="Garamond"/>
          <w:color w:val="000000" w:themeColor="text1"/>
        </w:rPr>
        <w:footnoteReference w:id="236"/>
      </w:r>
    </w:p>
    <w:p w14:paraId="71726124" w14:textId="77777777" w:rsidR="005341D7" w:rsidRPr="00016CAB" w:rsidRDefault="005341D7" w:rsidP="005341D7">
      <w:pPr>
        <w:rPr>
          <w:rFonts w:ascii="Garamond" w:hAnsi="Garamond"/>
        </w:rPr>
      </w:pPr>
    </w:p>
    <w:p w14:paraId="4C0599AA" w14:textId="77777777" w:rsidR="005341D7" w:rsidRDefault="005341D7" w:rsidP="005341D7">
      <w:pPr>
        <w:rPr>
          <w:rFonts w:ascii="Garamond" w:hAnsi="Garamond"/>
          <w:b/>
          <w:bCs/>
          <w:sz w:val="32"/>
          <w:szCs w:val="32"/>
        </w:rPr>
      </w:pPr>
      <w:r w:rsidRPr="00956F18">
        <w:rPr>
          <w:rFonts w:ascii="Garamond" w:hAnsi="Garamond"/>
          <w:b/>
          <w:bCs/>
          <w:sz w:val="28"/>
          <w:szCs w:val="28"/>
        </w:rPr>
        <w:t>Addendum</w:t>
      </w:r>
      <w:r>
        <w:rPr>
          <w:rFonts w:ascii="Garamond" w:hAnsi="Garamond"/>
          <w:b/>
          <w:bCs/>
          <w:sz w:val="32"/>
          <w:szCs w:val="32"/>
        </w:rPr>
        <w:t xml:space="preserve"> II. </w:t>
      </w:r>
    </w:p>
    <w:p w14:paraId="0DE4E4B4" w14:textId="77777777" w:rsidR="005341D7" w:rsidRDefault="005341D7" w:rsidP="005341D7">
      <w:pPr>
        <w:rPr>
          <w:rFonts w:ascii="Garamond" w:hAnsi="Garamond"/>
          <w:b/>
          <w:bCs/>
          <w:sz w:val="32"/>
          <w:szCs w:val="32"/>
        </w:rPr>
      </w:pPr>
    </w:p>
    <w:p w14:paraId="21268DFB" w14:textId="77777777" w:rsidR="005341D7" w:rsidRPr="00016CAB" w:rsidRDefault="005341D7" w:rsidP="005341D7">
      <w:pPr>
        <w:spacing w:line="480" w:lineRule="auto"/>
        <w:ind w:firstLine="360"/>
        <w:jc w:val="center"/>
        <w:rPr>
          <w:rFonts w:ascii="Garamond" w:hAnsi="Garamond"/>
          <w:color w:val="000000" w:themeColor="text1"/>
        </w:rPr>
      </w:pPr>
      <w:r w:rsidRPr="001B1C7A">
        <w:rPr>
          <w:rFonts w:ascii="Garamond" w:hAnsi="Garamond"/>
          <w:noProof/>
          <w:color w:val="000000" w:themeColor="text1"/>
        </w:rPr>
        <w:lastRenderedPageBreak/>
        <w:drawing>
          <wp:inline distT="0" distB="0" distL="0" distR="0" wp14:anchorId="14773DC8" wp14:editId="4F383FEE">
            <wp:extent cx="2862764" cy="1871330"/>
            <wp:effectExtent l="0" t="0" r="0" b="0"/>
            <wp:docPr id="7" name="Picture 7" descr="A picture containing text, whiteboard,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iteboard, map&#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78652" cy="1881715"/>
                    </a:xfrm>
                    <a:prstGeom prst="rect">
                      <a:avLst/>
                    </a:prstGeom>
                  </pic:spPr>
                </pic:pic>
              </a:graphicData>
            </a:graphic>
          </wp:inline>
        </w:drawing>
      </w:r>
      <w:r>
        <w:rPr>
          <w:rStyle w:val="FootnoteReference"/>
          <w:rFonts w:ascii="Garamond" w:eastAsiaTheme="majorEastAsia" w:hAnsi="Garamond"/>
          <w:color w:val="000000" w:themeColor="text1"/>
        </w:rPr>
        <w:footnoteReference w:id="237"/>
      </w:r>
    </w:p>
    <w:p w14:paraId="27F8040C" w14:textId="77777777" w:rsidR="005341D7" w:rsidRDefault="005341D7" w:rsidP="005341D7">
      <w:pPr>
        <w:rPr>
          <w:rFonts w:ascii="Garamond" w:hAnsi="Garamond"/>
          <w:sz w:val="28"/>
          <w:szCs w:val="28"/>
        </w:rPr>
      </w:pPr>
    </w:p>
    <w:p w14:paraId="70C0036B" w14:textId="77777777" w:rsidR="005341D7" w:rsidRDefault="005341D7" w:rsidP="005341D7">
      <w:pPr>
        <w:rPr>
          <w:rFonts w:ascii="Garamond" w:hAnsi="Garamond"/>
          <w:b/>
          <w:bCs/>
          <w:sz w:val="28"/>
          <w:szCs w:val="28"/>
        </w:rPr>
      </w:pPr>
      <w:r>
        <w:rPr>
          <w:rFonts w:ascii="Garamond" w:hAnsi="Garamond"/>
          <w:b/>
          <w:bCs/>
          <w:sz w:val="28"/>
          <w:szCs w:val="28"/>
        </w:rPr>
        <w:t xml:space="preserve">Addendum III. </w:t>
      </w:r>
    </w:p>
    <w:p w14:paraId="11500F84" w14:textId="77777777" w:rsidR="005341D7" w:rsidRDefault="005341D7" w:rsidP="005341D7">
      <w:pPr>
        <w:rPr>
          <w:rFonts w:ascii="Garamond" w:hAnsi="Garamond"/>
          <w:b/>
          <w:bCs/>
          <w:sz w:val="28"/>
          <w:szCs w:val="28"/>
        </w:rPr>
      </w:pPr>
    </w:p>
    <w:p w14:paraId="4770074E" w14:textId="77777777" w:rsidR="005341D7" w:rsidRPr="00016CAB" w:rsidRDefault="005341D7" w:rsidP="005341D7">
      <w:pPr>
        <w:rPr>
          <w:rFonts w:ascii="Garamond" w:hAnsi="Garamond"/>
          <w:sz w:val="28"/>
          <w:szCs w:val="28"/>
        </w:rPr>
      </w:pPr>
    </w:p>
    <w:p w14:paraId="2FD518B3" w14:textId="77777777" w:rsidR="005341D7" w:rsidRPr="00016CAB" w:rsidRDefault="005341D7" w:rsidP="005341D7">
      <w:pPr>
        <w:rPr>
          <w:rFonts w:ascii="Garamond" w:hAnsi="Garamond"/>
          <w:b/>
          <w:bCs/>
          <w:sz w:val="32"/>
          <w:szCs w:val="32"/>
        </w:rPr>
      </w:pPr>
      <w:r>
        <w:rPr>
          <w:rFonts w:ascii="Garamond" w:hAnsi="Garamond"/>
          <w:b/>
          <w:bCs/>
          <w:noProof/>
          <w:sz w:val="32"/>
          <w:szCs w:val="32"/>
        </w:rPr>
        <w:drawing>
          <wp:inline distT="0" distB="0" distL="0" distR="0" wp14:anchorId="6E06F0E6" wp14:editId="47DAF831">
            <wp:extent cx="5613991" cy="66756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5636947" cy="670291"/>
                    </a:xfrm>
                    <a:prstGeom prst="rect">
                      <a:avLst/>
                    </a:prstGeom>
                  </pic:spPr>
                </pic:pic>
              </a:graphicData>
            </a:graphic>
          </wp:inline>
        </w:drawing>
      </w:r>
      <w:r w:rsidRPr="00016CAB">
        <w:rPr>
          <w:rStyle w:val="FootnoteReference"/>
          <w:rFonts w:ascii="Garamond" w:eastAsiaTheme="majorEastAsia" w:hAnsi="Garamond"/>
          <w:sz w:val="32"/>
          <w:szCs w:val="32"/>
        </w:rPr>
        <w:footnoteReference w:id="238"/>
      </w:r>
    </w:p>
    <w:p w14:paraId="1D214AF2" w14:textId="77777777" w:rsidR="005341D7" w:rsidRDefault="005341D7" w:rsidP="005341D7"/>
    <w:p w14:paraId="7D88BFFB" w14:textId="4965ED0F" w:rsidR="00DB7E18" w:rsidRPr="00733E17" w:rsidRDefault="00DB7E18" w:rsidP="00733E17"/>
    <w:sectPr w:rsidR="00DB7E18" w:rsidRPr="00733E17" w:rsidSect="00680558">
      <w:headerReference w:type="even" r:id="rId24"/>
      <w:headerReference w:type="default" r:id="rId25"/>
      <w:pgSz w:w="12240" w:h="15840"/>
      <w:pgMar w:top="1440" w:right="1440" w:bottom="864" w:left="1440" w:header="720" w:footer="43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F8C9" w14:textId="77777777" w:rsidR="009B18F2" w:rsidRDefault="009B18F2" w:rsidP="0030323A">
      <w:r>
        <w:separator/>
      </w:r>
    </w:p>
  </w:endnote>
  <w:endnote w:type="continuationSeparator" w:id="0">
    <w:p w14:paraId="1E195110" w14:textId="77777777" w:rsidR="009B18F2" w:rsidRDefault="009B18F2" w:rsidP="0030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DA484" w14:textId="77777777" w:rsidR="009B18F2" w:rsidRDefault="009B18F2" w:rsidP="0030323A"/>
  </w:footnote>
  <w:footnote w:type="continuationSeparator" w:id="0">
    <w:p w14:paraId="2A4BEC33" w14:textId="77777777" w:rsidR="009B18F2" w:rsidRDefault="009B18F2" w:rsidP="0030323A">
      <w:r>
        <w:continuationSeparator/>
      </w:r>
    </w:p>
  </w:footnote>
  <w:footnote w:id="1">
    <w:p w14:paraId="24B3E6F8" w14:textId="77777777" w:rsidR="001A07C5" w:rsidRPr="00C14918" w:rsidRDefault="001A07C5" w:rsidP="0075067F">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Today comprising Israel, Palestine, Syria, Lebanon and part of Jordan</w:t>
      </w:r>
    </w:p>
  </w:footnote>
  <w:footnote w:id="2">
    <w:p w14:paraId="09F8EBCE" w14:textId="3DACB576" w:rsidR="001A07C5" w:rsidRPr="00680558" w:rsidRDefault="001A07C5" w:rsidP="00680558">
      <w:pPr>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Correspondence between “The Secretary of State to the Ambassador in Great Britain (Davis),” July 26, 1920, Volume II, 1920 </w:t>
      </w:r>
      <w:r w:rsidRPr="00680558">
        <w:rPr>
          <w:rFonts w:ascii="Garamond" w:hAnsi="Garamond"/>
          <w:i/>
          <w:iCs/>
          <w:sz w:val="17"/>
          <w:szCs w:val="17"/>
        </w:rPr>
        <w:t>Papers Relating to the Foreign Relations of the United States</w:t>
      </w:r>
      <w:r w:rsidRPr="00680558">
        <w:rPr>
          <w:rFonts w:ascii="Garamond" w:hAnsi="Garamond"/>
          <w:sz w:val="17"/>
          <w:szCs w:val="17"/>
        </w:rPr>
        <w:t xml:space="preserve">, Document 548, </w:t>
      </w:r>
      <w:r w:rsidRPr="00680558">
        <w:rPr>
          <w:rFonts w:ascii="Garamond" w:hAnsi="Garamond"/>
          <w:color w:val="333333"/>
          <w:sz w:val="17"/>
          <w:szCs w:val="17"/>
          <w:shd w:val="clear" w:color="auto" w:fill="FFFFFF"/>
        </w:rPr>
        <w:t xml:space="preserve">800.6363/143, </w:t>
      </w:r>
      <w:hyperlink r:id="rId1" w:history="1">
        <w:r w:rsidRPr="00680558">
          <w:rPr>
            <w:rStyle w:val="Hyperlink"/>
            <w:rFonts w:ascii="Garamond" w:hAnsi="Garamond"/>
            <w:sz w:val="17"/>
            <w:szCs w:val="17"/>
            <w:shd w:val="clear" w:color="auto" w:fill="FFFFFF"/>
          </w:rPr>
          <w:t>https://history.state.gov/historicaldocuments/frus1920v02/d548</w:t>
        </w:r>
      </w:hyperlink>
      <w:r w:rsidRPr="00680558">
        <w:rPr>
          <w:rFonts w:ascii="Garamond" w:hAnsi="Garamond"/>
          <w:color w:val="333333"/>
          <w:sz w:val="17"/>
          <w:szCs w:val="17"/>
          <w:shd w:val="clear" w:color="auto" w:fill="FFFFFF"/>
        </w:rPr>
        <w:t xml:space="preserve"> (hereafter cited The Secretary of State to the Ambassador in </w:t>
      </w:r>
      <w:r w:rsidRPr="00680558">
        <w:rPr>
          <w:rFonts w:ascii="Garamond" w:hAnsi="Garamond"/>
          <w:sz w:val="17"/>
          <w:szCs w:val="17"/>
          <w:shd w:val="clear" w:color="auto" w:fill="FFFFFF"/>
        </w:rPr>
        <w:t xml:space="preserve">Great </w:t>
      </w:r>
      <w:r w:rsidRPr="00680558">
        <w:rPr>
          <w:rFonts w:ascii="Garamond" w:hAnsi="Garamond"/>
          <w:color w:val="333333"/>
          <w:sz w:val="17"/>
          <w:szCs w:val="17"/>
          <w:shd w:val="clear" w:color="auto" w:fill="FFFFFF"/>
        </w:rPr>
        <w:t xml:space="preserve">Britain, July 26, 1920, </w:t>
      </w:r>
      <w:r w:rsidRPr="00680558">
        <w:rPr>
          <w:rFonts w:ascii="Garamond" w:hAnsi="Garamond"/>
          <w:i/>
          <w:iCs/>
          <w:color w:val="333333"/>
          <w:sz w:val="17"/>
          <w:szCs w:val="17"/>
          <w:shd w:val="clear" w:color="auto" w:fill="FFFFFF"/>
        </w:rPr>
        <w:t>FRUS, Vol II</w:t>
      </w:r>
      <w:r w:rsidRPr="00680558">
        <w:rPr>
          <w:rFonts w:ascii="Garamond" w:hAnsi="Garamond"/>
          <w:color w:val="333333"/>
          <w:sz w:val="17"/>
          <w:szCs w:val="17"/>
          <w:shd w:val="clear" w:color="auto" w:fill="FFFFFF"/>
        </w:rPr>
        <w:t xml:space="preserve">). </w:t>
      </w:r>
    </w:p>
  </w:footnote>
  <w:footnote w:id="3">
    <w:p w14:paraId="65B2C856" w14:textId="1B18270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sdt>
        <w:sdtPr>
          <w:rPr>
            <w:rFonts w:ascii="Garamond" w:hAnsi="Garamond"/>
            <w:sz w:val="17"/>
            <w:szCs w:val="17"/>
          </w:rPr>
          <w:id w:val="2140760529"/>
          <w:citation/>
        </w:sdtPr>
        <w:sdtEndPr/>
        <w:sdtContent>
          <w:r w:rsidRPr="00680558">
            <w:rPr>
              <w:rFonts w:ascii="Garamond" w:hAnsi="Garamond"/>
              <w:sz w:val="17"/>
              <w:szCs w:val="17"/>
            </w:rPr>
            <w:fldChar w:fldCharType="begin"/>
          </w:r>
          <w:r w:rsidRPr="00680558">
            <w:rPr>
              <w:rFonts w:ascii="Garamond" w:hAnsi="Garamond"/>
              <w:sz w:val="17"/>
              <w:szCs w:val="17"/>
            </w:rPr>
            <w:instrText xml:space="preserve"> CITATION Off20 \l 1033 </w:instrText>
          </w:r>
          <w:r w:rsidRPr="00680558">
            <w:rPr>
              <w:rFonts w:ascii="Garamond" w:hAnsi="Garamond"/>
              <w:sz w:val="17"/>
              <w:szCs w:val="17"/>
            </w:rPr>
            <w:fldChar w:fldCharType="separate"/>
          </w:r>
          <w:r w:rsidRPr="00680558">
            <w:rPr>
              <w:rFonts w:ascii="Garamond" w:hAnsi="Garamond"/>
              <w:noProof/>
              <w:sz w:val="17"/>
              <w:szCs w:val="17"/>
            </w:rPr>
            <w:t>(Office of the Historian n.d.)</w:t>
          </w:r>
          <w:r w:rsidRPr="00680558">
            <w:rPr>
              <w:rFonts w:ascii="Garamond" w:hAnsi="Garamond"/>
              <w:sz w:val="17"/>
              <w:szCs w:val="17"/>
            </w:rPr>
            <w:fldChar w:fldCharType="end"/>
          </w:r>
        </w:sdtContent>
      </w:sdt>
    </w:p>
  </w:footnote>
  <w:footnote w:id="4">
    <w:p w14:paraId="16BC7F3C" w14:textId="5B8FF7C0"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Known today as Ankara. </w:t>
      </w:r>
    </w:p>
  </w:footnote>
  <w:footnote w:id="5">
    <w:p w14:paraId="5869DB2A" w14:textId="13733094"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Marian </w:t>
      </w:r>
      <w:r w:rsidRPr="00680558">
        <w:rPr>
          <w:rFonts w:ascii="Garamond" w:hAnsi="Garamond"/>
          <w:noProof/>
          <w:sz w:val="17"/>
          <w:szCs w:val="17"/>
        </w:rPr>
        <w:t xml:space="preserve">Kent, </w:t>
      </w:r>
      <w:r w:rsidRPr="00680558">
        <w:rPr>
          <w:rFonts w:ascii="Garamond" w:hAnsi="Garamond"/>
          <w:i/>
          <w:iCs/>
          <w:noProof/>
          <w:sz w:val="17"/>
          <w:szCs w:val="17"/>
        </w:rPr>
        <w:t>Oil and Empire: British Policy and Mesopotamian Oil 1900 – 1920</w:t>
      </w:r>
      <w:r w:rsidRPr="00680558">
        <w:rPr>
          <w:rFonts w:ascii="Garamond" w:hAnsi="Garamond"/>
          <w:noProof/>
          <w:sz w:val="17"/>
          <w:szCs w:val="17"/>
        </w:rPr>
        <w:t xml:space="preserve"> (London: Macmilan, 1976) 16; The railway concession also allowed for a potential connection to the Persian Gulf. This worried the British, because Germany would then have been able to supply its East African colonies from Berlin. In times of war, this meant the Germans could challenge British supremacy in South Eastern Africa, which German Commander Paul von Letto – Vorbeck, did. </w:t>
      </w:r>
    </w:p>
  </w:footnote>
  <w:footnote w:id="6">
    <w:p w14:paraId="7009C733" w14:textId="28962FD6"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See Appendix, Addendum I for a map of this concession. Vilayet is an Ottoman word for city or region </w:t>
      </w:r>
    </w:p>
  </w:footnote>
  <w:footnote w:id="7">
    <w:p w14:paraId="422BF3C7" w14:textId="2F293065"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Kent, </w:t>
      </w:r>
      <w:r w:rsidRPr="00680558">
        <w:rPr>
          <w:rFonts w:ascii="Garamond" w:hAnsi="Garamond"/>
          <w:i/>
          <w:iCs/>
          <w:noProof/>
          <w:sz w:val="17"/>
          <w:szCs w:val="17"/>
        </w:rPr>
        <w:t>Oil and Empire</w:t>
      </w:r>
      <w:r w:rsidRPr="00680558">
        <w:rPr>
          <w:rFonts w:ascii="Garamond" w:hAnsi="Garamond"/>
          <w:noProof/>
          <w:sz w:val="17"/>
          <w:szCs w:val="17"/>
        </w:rPr>
        <w:t>, 17.</w:t>
      </w:r>
      <w:r w:rsidRPr="00680558">
        <w:rPr>
          <w:rFonts w:ascii="Garamond" w:hAnsi="Garamond"/>
          <w:sz w:val="17"/>
          <w:szCs w:val="17"/>
        </w:rPr>
        <w:t xml:space="preserve"> Today, Anglo – Persian is known as British Petroleum. </w:t>
      </w:r>
    </w:p>
  </w:footnote>
  <w:footnote w:id="8">
    <w:p w14:paraId="1EB4A5BD" w14:textId="1165EF83"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Known today as Iskenderun </w:t>
      </w:r>
    </w:p>
  </w:footnote>
  <w:footnote w:id="9">
    <w:p w14:paraId="2B33E3B3" w14:textId="5388BF48"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Kent, </w:t>
      </w:r>
      <w:r w:rsidRPr="00680558">
        <w:rPr>
          <w:rFonts w:ascii="Garamond" w:hAnsi="Garamond"/>
          <w:i/>
          <w:iCs/>
          <w:noProof/>
          <w:sz w:val="17"/>
          <w:szCs w:val="17"/>
        </w:rPr>
        <w:t>Oil and Empire</w:t>
      </w:r>
      <w:r w:rsidRPr="00680558">
        <w:rPr>
          <w:rFonts w:ascii="Garamond" w:hAnsi="Garamond"/>
          <w:noProof/>
          <w:sz w:val="17"/>
          <w:szCs w:val="17"/>
        </w:rPr>
        <w:t>, 26. Chester was not the only American searching for a concession. Standard Oil was deeply interested in the Middle East</w:t>
      </w:r>
    </w:p>
  </w:footnote>
  <w:footnote w:id="10">
    <w:p w14:paraId="00B30BAB" w14:textId="490A470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John </w:t>
      </w:r>
      <w:r w:rsidRPr="00680558">
        <w:rPr>
          <w:rFonts w:ascii="Garamond" w:hAnsi="Garamond"/>
          <w:noProof/>
          <w:sz w:val="17"/>
          <w:szCs w:val="17"/>
        </w:rPr>
        <w:t xml:space="preserve">Maurer, “Fuel and the Battle Fleet: Coal, Oil and American Naval Strategy 1898 – 1925,” </w:t>
      </w:r>
      <w:r w:rsidRPr="00680558">
        <w:rPr>
          <w:rFonts w:ascii="Garamond" w:hAnsi="Garamond"/>
          <w:i/>
          <w:iCs/>
          <w:noProof/>
          <w:sz w:val="17"/>
          <w:szCs w:val="17"/>
        </w:rPr>
        <w:t xml:space="preserve">Naval War College Review, </w:t>
      </w:r>
      <w:r w:rsidRPr="00680558">
        <w:rPr>
          <w:rFonts w:ascii="Garamond" w:hAnsi="Garamond"/>
          <w:noProof/>
          <w:sz w:val="17"/>
          <w:szCs w:val="17"/>
        </w:rPr>
        <w:t>(1981): 70.</w:t>
      </w:r>
    </w:p>
  </w:footnote>
  <w:footnote w:id="11">
    <w:p w14:paraId="6FD35717" w14:textId="515BCA73"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Maurer, “Fuel and the Battle Fleet 72; E. J. Dahl, “Naval Innovation: From Coal to Oil,” Institute for National Strategic Studies, (2001): 54</w:t>
      </w:r>
      <w:r w:rsidRPr="00680558">
        <w:rPr>
          <w:rFonts w:ascii="Garamond" w:hAnsi="Garamond"/>
          <w:sz w:val="17"/>
          <w:szCs w:val="17"/>
        </w:rPr>
        <w:t>.</w:t>
      </w:r>
    </w:p>
  </w:footnote>
  <w:footnote w:id="12">
    <w:p w14:paraId="19C10180" w14:textId="451B4BF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Kent, </w:t>
      </w:r>
      <w:r w:rsidRPr="00680558">
        <w:rPr>
          <w:rFonts w:ascii="Garamond" w:hAnsi="Garamond"/>
          <w:i/>
          <w:iCs/>
          <w:noProof/>
          <w:sz w:val="17"/>
          <w:szCs w:val="17"/>
        </w:rPr>
        <w:t>Oil and Empire</w:t>
      </w:r>
      <w:r w:rsidRPr="00680558">
        <w:rPr>
          <w:rFonts w:ascii="Garamond" w:hAnsi="Garamond"/>
          <w:noProof/>
          <w:sz w:val="17"/>
          <w:szCs w:val="17"/>
        </w:rPr>
        <w:t xml:space="preserve">, 27. Due to miscommunications, the British Foreign office was not aware that a British official at the National Bank of Turkey was pursuring the concession for at least 8 months. The Foreign Office reacted to the news with surprise. Two britis interests began competing because of miscommunication. </w:t>
      </w:r>
    </w:p>
  </w:footnote>
  <w:footnote w:id="13">
    <w:p w14:paraId="1C6338FC" w14:textId="328BB299"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D’Arcy was also interested in the Mesopotamian concession. However, he only had subtle support from the British Foreign office at this time. Ibid., 34.</w:t>
      </w:r>
    </w:p>
  </w:footnote>
  <w:footnote w:id="14">
    <w:p w14:paraId="258DD8D7" w14:textId="7A8315A8"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60.</w:t>
      </w:r>
    </w:p>
  </w:footnote>
  <w:footnote w:id="15">
    <w:p w14:paraId="4DC479E9" w14:textId="031EC103"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Kent, </w:t>
      </w:r>
      <w:r w:rsidRPr="00680558">
        <w:rPr>
          <w:rFonts w:ascii="Garamond" w:hAnsi="Garamond"/>
          <w:i/>
          <w:iCs/>
          <w:sz w:val="17"/>
          <w:szCs w:val="17"/>
        </w:rPr>
        <w:t xml:space="preserve">Oil and Empire, </w:t>
      </w:r>
      <w:r w:rsidRPr="00680558">
        <w:rPr>
          <w:rFonts w:ascii="Garamond" w:hAnsi="Garamond"/>
          <w:sz w:val="17"/>
          <w:szCs w:val="17"/>
        </w:rPr>
        <w:t xml:space="preserve">38. In 1912, the British Admiralty and Foreign Office knew the degree to which the Empire depended on oil. Though Anglo – Persian was not yet a state-owned company, the government began providing it advance contracts and subsidies. Anglo – Persian, moreover, had entered talks to supply Indian State Railways with oil – making it even more significant to Empire </w:t>
      </w:r>
    </w:p>
  </w:footnote>
  <w:footnote w:id="16">
    <w:p w14:paraId="0585B644" w14:textId="637094F0"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Gareth Jones, “The British Government and the Oil Companies 1912-1924: The Search for an Oil Policy,” </w:t>
      </w:r>
      <w:r w:rsidRPr="00680558">
        <w:rPr>
          <w:rFonts w:ascii="Garamond" w:hAnsi="Garamond"/>
          <w:i/>
          <w:iCs/>
          <w:sz w:val="17"/>
          <w:szCs w:val="17"/>
        </w:rPr>
        <w:t xml:space="preserve">The Historical Journal </w:t>
      </w:r>
      <w:r w:rsidRPr="00680558">
        <w:rPr>
          <w:rFonts w:ascii="Garamond" w:hAnsi="Garamond"/>
          <w:sz w:val="17"/>
          <w:szCs w:val="17"/>
        </w:rPr>
        <w:t xml:space="preserve">20, no.3 (1977): 647 – 72.  </w:t>
      </w:r>
    </w:p>
  </w:footnote>
  <w:footnote w:id="17">
    <w:p w14:paraId="75AE0147" w14:textId="5A10015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Kent, </w:t>
      </w:r>
      <w:r w:rsidRPr="00680558">
        <w:rPr>
          <w:rFonts w:ascii="Garamond" w:hAnsi="Garamond"/>
          <w:i/>
          <w:iCs/>
          <w:noProof/>
          <w:sz w:val="17"/>
          <w:szCs w:val="17"/>
        </w:rPr>
        <w:t>Oil and Empire</w:t>
      </w:r>
      <w:r w:rsidRPr="00680558">
        <w:rPr>
          <w:rFonts w:ascii="Garamond" w:hAnsi="Garamond"/>
          <w:noProof/>
          <w:sz w:val="17"/>
          <w:szCs w:val="17"/>
        </w:rPr>
        <w:t>, 58.</w:t>
      </w:r>
    </w:p>
  </w:footnote>
  <w:footnote w:id="18">
    <w:p w14:paraId="2F73F1F0" w14:textId="1287DB73"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74. </w:t>
      </w:r>
    </w:p>
  </w:footnote>
  <w:footnote w:id="19">
    <w:p w14:paraId="0E154275" w14:textId="4763FC21"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Janice </w:t>
      </w:r>
      <w:r w:rsidRPr="00680558">
        <w:rPr>
          <w:rFonts w:ascii="Garamond" w:hAnsi="Garamond"/>
          <w:noProof/>
          <w:sz w:val="17"/>
          <w:szCs w:val="17"/>
        </w:rPr>
        <w:t xml:space="preserve">Terry, </w:t>
      </w:r>
      <w:r w:rsidRPr="00680558">
        <w:rPr>
          <w:rFonts w:ascii="Garamond" w:hAnsi="Garamond"/>
          <w:i/>
          <w:iCs/>
          <w:noProof/>
          <w:sz w:val="17"/>
          <w:szCs w:val="17"/>
        </w:rPr>
        <w:t>William Yale: Witness to Partition in the Middle East: WWI – WWII.</w:t>
      </w:r>
      <w:r w:rsidRPr="00680558">
        <w:rPr>
          <w:rFonts w:ascii="Garamond" w:hAnsi="Garamond"/>
          <w:noProof/>
          <w:sz w:val="17"/>
          <w:szCs w:val="17"/>
        </w:rPr>
        <w:t xml:space="preserve"> (Cyprus: Rimal Publications, 2015), 151. T.P.C. would try to intimidate Standard Oil’s officers in Palestine. </w:t>
      </w:r>
    </w:p>
  </w:footnote>
  <w:footnote w:id="20">
    <w:p w14:paraId="60A333CE" w14:textId="7777777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Royal Dutch Shell shared many areas of collaboration with Deutsche Bank outside of the Middle East</w:t>
      </w:r>
    </w:p>
  </w:footnote>
  <w:footnote w:id="21">
    <w:p w14:paraId="2CAF6A02" w14:textId="20F26080"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Kent, </w:t>
      </w:r>
      <w:r w:rsidRPr="00680558">
        <w:rPr>
          <w:rFonts w:ascii="Garamond" w:hAnsi="Garamond"/>
          <w:i/>
          <w:iCs/>
          <w:noProof/>
          <w:sz w:val="17"/>
          <w:szCs w:val="17"/>
        </w:rPr>
        <w:t>Oil and Empire</w:t>
      </w:r>
      <w:r w:rsidRPr="00680558">
        <w:rPr>
          <w:rFonts w:ascii="Garamond" w:hAnsi="Garamond"/>
          <w:noProof/>
          <w:sz w:val="17"/>
          <w:szCs w:val="17"/>
        </w:rPr>
        <w:t>, 84,93.</w:t>
      </w:r>
    </w:p>
  </w:footnote>
  <w:footnote w:id="22">
    <w:p w14:paraId="641F3F1E" w14:textId="7E6A539D"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Ibid</w:t>
      </w:r>
    </w:p>
  </w:footnote>
  <w:footnote w:id="23">
    <w:p w14:paraId="06018170" w14:textId="2D358347" w:rsidR="001A07C5" w:rsidRPr="00680558" w:rsidRDefault="001A07C5">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For more information see: Jonathan Conlin, </w:t>
      </w:r>
      <w:r w:rsidRPr="00680558">
        <w:rPr>
          <w:rFonts w:ascii="Garamond" w:hAnsi="Garamond"/>
          <w:i/>
          <w:iCs/>
          <w:sz w:val="17"/>
          <w:szCs w:val="17"/>
        </w:rPr>
        <w:t>Mr Five Per Cent: The Many Lives of Calouste Gulbenkian, the World’s Richest man. (</w:t>
      </w:r>
      <w:r w:rsidRPr="00680558">
        <w:rPr>
          <w:rFonts w:ascii="Garamond" w:hAnsi="Garamond"/>
          <w:sz w:val="17"/>
          <w:szCs w:val="17"/>
        </w:rPr>
        <w:t xml:space="preserve">London: Profile Books, 2019). </w:t>
      </w:r>
    </w:p>
  </w:footnote>
  <w:footnote w:id="24">
    <w:p w14:paraId="192A58D9" w14:textId="0090678F" w:rsidR="001A07C5" w:rsidRPr="00680558" w:rsidRDefault="001A07C5">
      <w:pPr>
        <w:pStyle w:val="FootnoteText"/>
        <w:rPr>
          <w:rFonts w:ascii="Garamond" w:hAnsi="Garamond"/>
          <w:i/>
          <w:i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Kent, </w:t>
      </w:r>
      <w:r w:rsidRPr="00680558">
        <w:rPr>
          <w:rFonts w:ascii="Garamond" w:hAnsi="Garamond"/>
          <w:i/>
          <w:iCs/>
          <w:sz w:val="17"/>
          <w:szCs w:val="17"/>
        </w:rPr>
        <w:t xml:space="preserve">Oil and Empire, 124 </w:t>
      </w:r>
    </w:p>
  </w:footnote>
  <w:footnote w:id="25">
    <w:p w14:paraId="0EFD629A" w14:textId="58E5F158" w:rsidR="001A07C5" w:rsidRPr="00680558" w:rsidRDefault="001A07C5" w:rsidP="00680558">
      <w:pPr>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History, “Spanish – American War,” History. A &amp; E Publisher Networks, 2020, </w:t>
      </w:r>
      <w:hyperlink r:id="rId2" w:history="1">
        <w:r w:rsidRPr="00680558">
          <w:rPr>
            <w:rStyle w:val="Hyperlink"/>
            <w:rFonts w:ascii="Garamond" w:hAnsi="Garamond"/>
            <w:sz w:val="17"/>
            <w:szCs w:val="17"/>
          </w:rPr>
          <w:t>https://www.history.com/topics/early-20th-century-us/spanish-american-war</w:t>
        </w:r>
      </w:hyperlink>
      <w:r w:rsidRPr="00680558">
        <w:rPr>
          <w:rFonts w:ascii="Garamond" w:hAnsi="Garamond"/>
          <w:sz w:val="17"/>
          <w:szCs w:val="17"/>
        </w:rPr>
        <w:t xml:space="preserve">  </w:t>
      </w:r>
    </w:p>
  </w:footnote>
  <w:footnote w:id="26">
    <w:p w14:paraId="45247844" w14:textId="20A8CA36" w:rsidR="001A07C5" w:rsidRPr="00680558" w:rsidRDefault="001A07C5" w:rsidP="00C11F8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Braisted, William R, </w:t>
      </w:r>
      <w:r w:rsidRPr="00680558">
        <w:rPr>
          <w:rFonts w:ascii="Garamond" w:hAnsi="Garamond"/>
          <w:i/>
          <w:iCs/>
          <w:sz w:val="17"/>
          <w:szCs w:val="17"/>
        </w:rPr>
        <w:t>The United States Navy in the Pacific, 1909 – 1922 (</w:t>
      </w:r>
      <w:r w:rsidRPr="00680558">
        <w:rPr>
          <w:rFonts w:ascii="Garamond" w:hAnsi="Garamond"/>
          <w:sz w:val="17"/>
          <w:szCs w:val="17"/>
        </w:rPr>
        <w:t xml:space="preserve">Austin: University of Texas at </w:t>
      </w:r>
    </w:p>
    <w:p w14:paraId="761227E9" w14:textId="7ED10FDF" w:rsidR="001A07C5" w:rsidRPr="00680558" w:rsidRDefault="001A07C5">
      <w:pPr>
        <w:pStyle w:val="FootnoteText"/>
        <w:rPr>
          <w:rFonts w:ascii="Garamond" w:hAnsi="Garamond"/>
          <w:sz w:val="17"/>
          <w:szCs w:val="17"/>
        </w:rPr>
      </w:pPr>
      <w:r w:rsidRPr="00680558">
        <w:rPr>
          <w:rFonts w:ascii="Garamond" w:hAnsi="Garamond"/>
          <w:sz w:val="17"/>
          <w:szCs w:val="17"/>
        </w:rPr>
        <w:t xml:space="preserve">Austin, 1971), 37. </w:t>
      </w:r>
    </w:p>
  </w:footnote>
  <w:footnote w:id="27">
    <w:p w14:paraId="19B4001E" w14:textId="7BF5F4E0"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Braisted, </w:t>
      </w:r>
      <w:r w:rsidRPr="00680558">
        <w:rPr>
          <w:rFonts w:ascii="Garamond" w:hAnsi="Garamond"/>
          <w:i/>
          <w:iCs/>
          <w:sz w:val="17"/>
          <w:szCs w:val="17"/>
        </w:rPr>
        <w:t xml:space="preserve">The United States Navy in the Pacific, </w:t>
      </w:r>
      <w:r w:rsidRPr="00680558">
        <w:rPr>
          <w:rFonts w:ascii="Garamond" w:hAnsi="Garamond"/>
          <w:sz w:val="17"/>
          <w:szCs w:val="17"/>
        </w:rPr>
        <w:t xml:space="preserve">37                           </w:t>
      </w:r>
    </w:p>
  </w:footnote>
  <w:footnote w:id="28">
    <w:p w14:paraId="282D6EB7" w14:textId="6AA96120" w:rsidR="001A07C5" w:rsidRPr="00680558" w:rsidRDefault="001A07C5" w:rsidP="00C137FB">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Braisted, </w:t>
      </w:r>
      <w:r w:rsidRPr="00680558">
        <w:rPr>
          <w:rFonts w:ascii="Garamond" w:hAnsi="Garamond"/>
          <w:i/>
          <w:iCs/>
          <w:sz w:val="17"/>
          <w:szCs w:val="17"/>
        </w:rPr>
        <w:t xml:space="preserve">The United States Navy in the Pacific, </w:t>
      </w:r>
      <w:r w:rsidRPr="00680558">
        <w:rPr>
          <w:rFonts w:ascii="Garamond" w:hAnsi="Garamond"/>
          <w:sz w:val="17"/>
          <w:szCs w:val="17"/>
        </w:rPr>
        <w:t xml:space="preserve">38                           </w:t>
      </w:r>
    </w:p>
  </w:footnote>
  <w:footnote w:id="29">
    <w:p w14:paraId="47FAFDDB" w14:textId="6F37D917"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DeNovo, John A. “Petroleum and the United States Navy Before World War I,” </w:t>
      </w:r>
      <w:r w:rsidRPr="00680558">
        <w:rPr>
          <w:rFonts w:ascii="Garamond" w:hAnsi="Garamond"/>
          <w:i/>
          <w:iCs/>
          <w:sz w:val="17"/>
          <w:szCs w:val="17"/>
        </w:rPr>
        <w:t xml:space="preserve">The Mississippi Valley Historical Review </w:t>
      </w:r>
      <w:r w:rsidRPr="00680558">
        <w:rPr>
          <w:rFonts w:ascii="Garamond" w:hAnsi="Garamond"/>
          <w:sz w:val="17"/>
          <w:szCs w:val="17"/>
        </w:rPr>
        <w:t>41, no . 4 (1955): 641 – 656, 652.</w:t>
      </w:r>
    </w:p>
  </w:footnote>
  <w:footnote w:id="30">
    <w:p w14:paraId="34BA561C" w14:textId="6448E316" w:rsidR="001A07C5" w:rsidRPr="00680558" w:rsidRDefault="001A07C5">
      <w:pPr>
        <w:pStyle w:val="FootnoteText"/>
        <w:rPr>
          <w:rFonts w:ascii="Garamond" w:hAnsi="Garamond"/>
          <w:i/>
          <w:i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This paper will revisit the Daniels plan in more detail in the </w:t>
      </w:r>
      <w:r w:rsidRPr="00680558">
        <w:rPr>
          <w:rFonts w:ascii="Garamond" w:hAnsi="Garamond"/>
          <w:i/>
          <w:iCs/>
          <w:sz w:val="17"/>
          <w:szCs w:val="17"/>
        </w:rPr>
        <w:t xml:space="preserve">Findings; </w:t>
      </w:r>
      <w:r w:rsidRPr="00680558">
        <w:rPr>
          <w:rFonts w:ascii="Garamond" w:hAnsi="Garamond"/>
          <w:sz w:val="17"/>
          <w:szCs w:val="17"/>
        </w:rPr>
        <w:t xml:space="preserve">DeNovo, John A. “Petroleum and the United States Navy,” 652. </w:t>
      </w:r>
    </w:p>
  </w:footnote>
  <w:footnote w:id="31">
    <w:p w14:paraId="3275A005" w14:textId="04D6A0C0" w:rsidR="001A07C5" w:rsidRPr="00680558" w:rsidRDefault="001A07C5" w:rsidP="0092646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This Iraq did not contain Mosul. The British would also have access to a Mediterranean Port at Haifa. </w:t>
      </w:r>
    </w:p>
  </w:footnote>
  <w:footnote w:id="32">
    <w:p w14:paraId="1DC54BA0" w14:textId="7777777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Tsarist Russia, however, never realized this historic goal, as the 1917 revolution abrogated Tsarist Russia’s treaties</w:t>
      </w:r>
    </w:p>
  </w:footnote>
  <w:footnote w:id="33">
    <w:p w14:paraId="0E6A89D2" w14:textId="5016B0A2" w:rsidR="001A07C5" w:rsidRPr="00680558" w:rsidRDefault="001A07C5">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Margaret MacMillan, </w:t>
      </w:r>
      <w:r w:rsidRPr="00680558">
        <w:rPr>
          <w:rFonts w:ascii="Garamond" w:hAnsi="Garamond"/>
          <w:i/>
          <w:iCs/>
          <w:noProof/>
          <w:sz w:val="17"/>
          <w:szCs w:val="17"/>
        </w:rPr>
        <w:t xml:space="preserve">Peacemakers: The Paris Conference of 1919 and its Attempt to end War </w:t>
      </w:r>
      <w:r w:rsidRPr="00680558">
        <w:rPr>
          <w:rFonts w:ascii="Garamond" w:hAnsi="Garamond"/>
          <w:noProof/>
          <w:sz w:val="17"/>
          <w:szCs w:val="17"/>
        </w:rPr>
        <w:t>(London: John Murray, 2005).</w:t>
      </w:r>
      <w:r w:rsidRPr="00680558">
        <w:rPr>
          <w:rFonts w:ascii="Garamond" w:hAnsi="Garamond"/>
          <w:b/>
          <w:bCs/>
          <w:sz w:val="17"/>
          <w:szCs w:val="17"/>
        </w:rPr>
        <w:t xml:space="preserve"> </w:t>
      </w:r>
    </w:p>
  </w:footnote>
  <w:footnote w:id="34">
    <w:p w14:paraId="7374530E" w14:textId="6037E61D"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MacMillan, </w:t>
      </w:r>
      <w:r w:rsidRPr="00680558">
        <w:rPr>
          <w:rFonts w:ascii="Garamond" w:hAnsi="Garamond"/>
          <w:i/>
          <w:iCs/>
          <w:noProof/>
          <w:sz w:val="17"/>
          <w:szCs w:val="17"/>
        </w:rPr>
        <w:t xml:space="preserve">Peacemakers, </w:t>
      </w:r>
      <w:r w:rsidRPr="00680558">
        <w:rPr>
          <w:rFonts w:ascii="Garamond" w:hAnsi="Garamond"/>
          <w:noProof/>
          <w:sz w:val="17"/>
          <w:szCs w:val="17"/>
        </w:rPr>
        <w:t>420, 421</w:t>
      </w:r>
    </w:p>
  </w:footnote>
  <w:footnote w:id="35">
    <w:p w14:paraId="34F2F7EA" w14:textId="7BFB5F71"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Kent, </w:t>
      </w:r>
      <w:r w:rsidRPr="00680558">
        <w:rPr>
          <w:rFonts w:ascii="Garamond" w:hAnsi="Garamond"/>
          <w:i/>
          <w:iCs/>
          <w:sz w:val="17"/>
          <w:szCs w:val="17"/>
        </w:rPr>
        <w:t xml:space="preserve">Oil and Empire, </w:t>
      </w:r>
      <w:r w:rsidRPr="00680558">
        <w:rPr>
          <w:rFonts w:ascii="Garamond" w:hAnsi="Garamond"/>
          <w:sz w:val="17"/>
          <w:szCs w:val="17"/>
        </w:rPr>
        <w:t xml:space="preserve">142. Since Germany lost the war, Deutsche Bank needed to give up its Middle Eastern interests. The British also knew that, if not included in the new T.P.C., France would protest the legality of the T.P.C.’s concession, granted by a nonexistent Ottoman Empire. The British, furthermore, hoped France’s participation in the T.P.C. would make it more amenable to British oil activities in Algeria and dreams for an Eastern Mediterranean pipeline. The French were also going to bring in Standard Oil if ignored by the British. </w:t>
      </w:r>
      <w:r w:rsidRPr="00680558">
        <w:rPr>
          <w:rFonts w:ascii="Garamond" w:hAnsi="Garamond"/>
          <w:noProof/>
          <w:sz w:val="17"/>
          <w:szCs w:val="17"/>
        </w:rPr>
        <w:t xml:space="preserve"> </w:t>
      </w:r>
    </w:p>
  </w:footnote>
  <w:footnote w:id="36">
    <w:p w14:paraId="14A61729" w14:textId="2A1D4F16"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Andrew </w:t>
      </w:r>
      <w:r w:rsidRPr="00680558">
        <w:rPr>
          <w:rFonts w:ascii="Garamond" w:hAnsi="Garamond"/>
          <w:noProof/>
          <w:sz w:val="17"/>
          <w:szCs w:val="17"/>
        </w:rPr>
        <w:t xml:space="preserve">Patrick, </w:t>
      </w:r>
      <w:r w:rsidRPr="00680558">
        <w:rPr>
          <w:rFonts w:ascii="Garamond" w:hAnsi="Garamond"/>
          <w:i/>
          <w:iCs/>
          <w:noProof/>
          <w:sz w:val="17"/>
          <w:szCs w:val="17"/>
        </w:rPr>
        <w:t>America's forgotten Middle East Initiative: The King - Crane Commission of 1919</w:t>
      </w:r>
      <w:r w:rsidRPr="00680558">
        <w:rPr>
          <w:rFonts w:ascii="Garamond" w:hAnsi="Garamond"/>
          <w:noProof/>
          <w:sz w:val="17"/>
          <w:szCs w:val="17"/>
        </w:rPr>
        <w:t xml:space="preserve"> (London: Tauris, 2015), 20. </w:t>
      </w:r>
    </w:p>
  </w:footnote>
  <w:footnote w:id="37">
    <w:p w14:paraId="681DAE16" w14:textId="6F998023"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Andrew </w:t>
      </w:r>
      <w:r w:rsidRPr="00680558">
        <w:rPr>
          <w:rFonts w:ascii="Garamond" w:hAnsi="Garamond"/>
          <w:noProof/>
          <w:sz w:val="17"/>
          <w:szCs w:val="17"/>
        </w:rPr>
        <w:t xml:space="preserve">Patrick, </w:t>
      </w:r>
      <w:r w:rsidRPr="00680558">
        <w:rPr>
          <w:rFonts w:ascii="Garamond" w:hAnsi="Garamond"/>
          <w:i/>
          <w:iCs/>
          <w:noProof/>
          <w:sz w:val="17"/>
          <w:szCs w:val="17"/>
        </w:rPr>
        <w:t xml:space="preserve">America's forgotten Middle East Initiative, </w:t>
      </w:r>
      <w:r w:rsidRPr="00680558">
        <w:rPr>
          <w:rFonts w:ascii="Garamond" w:hAnsi="Garamond"/>
          <w:noProof/>
          <w:sz w:val="17"/>
          <w:szCs w:val="17"/>
        </w:rPr>
        <w:t xml:space="preserve">20. </w:t>
      </w:r>
    </w:p>
  </w:footnote>
  <w:footnote w:id="38">
    <w:p w14:paraId="369B65CD" w14:textId="04F3E209"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The defeat resulted in such a loss of troops and such embarrassment that Churchil</w:t>
      </w:r>
      <w:r w:rsidRPr="00C14918">
        <w:rPr>
          <w:rFonts w:ascii="Garamond" w:hAnsi="Garamond"/>
          <w:sz w:val="17"/>
          <w:szCs w:val="17"/>
        </w:rPr>
        <w:t>l</w:t>
      </w:r>
      <w:r w:rsidRPr="00680558">
        <w:rPr>
          <w:rFonts w:ascii="Garamond" w:hAnsi="Garamond"/>
          <w:sz w:val="17"/>
          <w:szCs w:val="17"/>
        </w:rPr>
        <w:t xml:space="preserve">, as First Lord of the British Admiralty, relinquished his position and took up a field command on the Western front. </w:t>
      </w:r>
    </w:p>
  </w:footnote>
  <w:footnote w:id="39">
    <w:p w14:paraId="55AC7947" w14:textId="3509D3F7" w:rsidR="001A07C5" w:rsidRPr="00C14918" w:rsidRDefault="001A07C5" w:rsidP="0030323A">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Hasau, “The Siege of Kut in Number.” https://interactive.aljazeera.com/ajt/2016/kutul-amare/en/credits.html</w:t>
      </w:r>
    </w:p>
  </w:footnote>
  <w:footnote w:id="40">
    <w:p w14:paraId="54B5793A" w14:textId="4CC735D8" w:rsidR="001A07C5" w:rsidRPr="00680558" w:rsidRDefault="001A07C5" w:rsidP="0030323A">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 Hughes, </w:t>
      </w:r>
      <w:r w:rsidRPr="00680558">
        <w:rPr>
          <w:rFonts w:ascii="Garamond" w:hAnsi="Garamond"/>
          <w:i/>
          <w:iCs/>
          <w:sz w:val="17"/>
          <w:szCs w:val="17"/>
        </w:rPr>
        <w:t>Allenby and British Strategy in the Middle East, 1917 – 1919</w:t>
      </w:r>
      <w:r w:rsidRPr="00680558">
        <w:rPr>
          <w:rFonts w:ascii="Garamond" w:hAnsi="Garamond"/>
          <w:sz w:val="17"/>
          <w:szCs w:val="17"/>
        </w:rPr>
        <w:t xml:space="preserve"> (</w:t>
      </w:r>
      <w:r w:rsidRPr="00680558">
        <w:rPr>
          <w:rFonts w:ascii="Garamond" w:hAnsi="Garamond"/>
          <w:noProof/>
          <w:sz w:val="17"/>
          <w:szCs w:val="17"/>
        </w:rPr>
        <w:t xml:space="preserve">London: Cass, 1999). </w:t>
      </w:r>
    </w:p>
  </w:footnote>
  <w:footnote w:id="41">
    <w:p w14:paraId="10D1DC09" w14:textId="6678B867" w:rsidR="001A07C5" w:rsidRPr="00680558" w:rsidRDefault="001A07C5" w:rsidP="00C137FB">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For a map of the respective OETAs, see Appendix, Addendum II. </w:t>
      </w:r>
      <w:r w:rsidRPr="00680558">
        <w:rPr>
          <w:rFonts w:ascii="Garamond" w:hAnsi="Garamond"/>
          <w:noProof/>
          <w:sz w:val="17"/>
          <w:szCs w:val="17"/>
        </w:rPr>
        <w:t xml:space="preserve">Patrick, </w:t>
      </w:r>
      <w:r w:rsidRPr="00680558">
        <w:rPr>
          <w:rFonts w:ascii="Garamond" w:hAnsi="Garamond"/>
          <w:i/>
          <w:iCs/>
          <w:noProof/>
          <w:sz w:val="17"/>
          <w:szCs w:val="17"/>
        </w:rPr>
        <w:t>America's forgotten Middle East Initiative</w:t>
      </w:r>
      <w:r w:rsidRPr="00680558">
        <w:rPr>
          <w:rFonts w:ascii="Garamond" w:hAnsi="Garamond"/>
          <w:noProof/>
          <w:sz w:val="17"/>
          <w:szCs w:val="17"/>
        </w:rPr>
        <w:t>:, 20.</w:t>
      </w:r>
    </w:p>
  </w:footnote>
  <w:footnote w:id="42">
    <w:p w14:paraId="2CE741C8" w14:textId="254B0926"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p>
  </w:footnote>
  <w:footnote w:id="43">
    <w:p w14:paraId="75089A9B" w14:textId="3ACA67C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Macmillan, </w:t>
      </w:r>
      <w:r w:rsidRPr="00680558">
        <w:rPr>
          <w:rFonts w:ascii="Garamond" w:hAnsi="Garamond"/>
          <w:i/>
          <w:iCs/>
          <w:sz w:val="17"/>
          <w:szCs w:val="17"/>
        </w:rPr>
        <w:t>Peacemakers: The Paris Conference of 1919 and its Attempt to end War</w:t>
      </w:r>
      <w:r w:rsidRPr="00680558">
        <w:rPr>
          <w:rFonts w:ascii="Garamond" w:hAnsi="Garamond"/>
          <w:sz w:val="17"/>
          <w:szCs w:val="17"/>
        </w:rPr>
        <w:t>, 496.</w:t>
      </w:r>
    </w:p>
  </w:footnote>
  <w:footnote w:id="44">
    <w:p w14:paraId="496DBFF3" w14:textId="1EAA86CB"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MacMIllan, </w:t>
      </w:r>
      <w:r w:rsidRPr="00680558">
        <w:rPr>
          <w:rFonts w:ascii="Garamond" w:hAnsi="Garamond"/>
          <w:i/>
          <w:iCs/>
          <w:sz w:val="17"/>
          <w:szCs w:val="17"/>
        </w:rPr>
        <w:t xml:space="preserve">Peacemakers, </w:t>
      </w:r>
      <w:r w:rsidRPr="00680558">
        <w:rPr>
          <w:rFonts w:ascii="Garamond" w:hAnsi="Garamond"/>
          <w:sz w:val="17"/>
          <w:szCs w:val="17"/>
        </w:rPr>
        <w:t xml:space="preserve">99 </w:t>
      </w:r>
    </w:p>
  </w:footnote>
  <w:footnote w:id="45">
    <w:p w14:paraId="66201B6D" w14:textId="44C7C68A"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C14918">
        <w:rPr>
          <w:rFonts w:ascii="Garamond" w:hAnsi="Garamond"/>
          <w:sz w:val="17"/>
          <w:szCs w:val="17"/>
        </w:rPr>
        <w:t xml:space="preserve"> Britain’s dominions consisted of Australia, Canada, Newfoundland, New Zealand, and South Africa. </w:t>
      </w:r>
      <w:r w:rsidRPr="00680558">
        <w:rPr>
          <w:rFonts w:ascii="Garamond" w:hAnsi="Garamond"/>
          <w:sz w:val="17"/>
          <w:szCs w:val="17"/>
        </w:rPr>
        <w:t xml:space="preserve">D. Myers, “The Mandate System of the League of Nations,” </w:t>
      </w:r>
      <w:r w:rsidRPr="00680558">
        <w:rPr>
          <w:rFonts w:ascii="Garamond" w:hAnsi="Garamond"/>
          <w:i/>
          <w:iCs/>
          <w:noProof/>
          <w:sz w:val="17"/>
          <w:szCs w:val="17"/>
        </w:rPr>
        <w:t xml:space="preserve">The Annals of the American Academy of Political and Social Science </w:t>
      </w:r>
      <w:r w:rsidRPr="00680558">
        <w:rPr>
          <w:rFonts w:ascii="Garamond" w:hAnsi="Garamond"/>
          <w:noProof/>
          <w:sz w:val="17"/>
          <w:szCs w:val="17"/>
        </w:rPr>
        <w:t>(1921): 74 - 77</w:t>
      </w:r>
      <w:r w:rsidRPr="00680558">
        <w:rPr>
          <w:rFonts w:ascii="Garamond" w:hAnsi="Garamond"/>
          <w:sz w:val="17"/>
          <w:szCs w:val="17"/>
        </w:rPr>
        <w:t>.</w:t>
      </w:r>
    </w:p>
  </w:footnote>
  <w:footnote w:id="46">
    <w:p w14:paraId="78C90CD2" w14:textId="330CC03D"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Macmillan, </w:t>
      </w:r>
      <w:r w:rsidRPr="00680558">
        <w:rPr>
          <w:rFonts w:ascii="Garamond" w:hAnsi="Garamond"/>
          <w:i/>
          <w:iCs/>
          <w:sz w:val="17"/>
          <w:szCs w:val="17"/>
        </w:rPr>
        <w:t>Peacemakers: The Paris Conference of 1919 and its Attempt to end War</w:t>
      </w:r>
      <w:r w:rsidRPr="00680558">
        <w:rPr>
          <w:rFonts w:ascii="Garamond" w:hAnsi="Garamond"/>
          <w:sz w:val="17"/>
          <w:szCs w:val="17"/>
        </w:rPr>
        <w:t>, 103.</w:t>
      </w:r>
    </w:p>
  </w:footnote>
  <w:footnote w:id="47">
    <w:p w14:paraId="53FDC787" w14:textId="0B37C33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103</w:t>
      </w:r>
    </w:p>
  </w:footnote>
  <w:footnote w:id="48">
    <w:p w14:paraId="74BF407B" w14:textId="668E251C" w:rsidR="001A07C5" w:rsidRPr="00680558" w:rsidRDefault="001A07C5" w:rsidP="005201C9">
      <w:pPr>
        <w:pStyle w:val="FootnoteText"/>
        <w:rPr>
          <w:rFonts w:ascii="Garamond" w:hAnsi="Garamond"/>
          <w:color w:val="000000" w:themeColor="text1"/>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color w:val="000000" w:themeColor="text1"/>
          <w:sz w:val="17"/>
          <w:szCs w:val="17"/>
        </w:rPr>
        <w:t xml:space="preserve">The Covenant of the League of Nations,” 1924, The Avalon Project. Yale Law School Library. New Haven, CT. </w:t>
      </w:r>
      <w:hyperlink r:id="rId3" w:history="1">
        <w:r w:rsidRPr="00680558">
          <w:rPr>
            <w:rStyle w:val="Hyperlink"/>
            <w:rFonts w:ascii="Garamond" w:hAnsi="Garamond"/>
            <w:sz w:val="17"/>
            <w:szCs w:val="17"/>
          </w:rPr>
          <w:t>https://avalon.law.yale.edu/20th_century/leagcov.asp</w:t>
        </w:r>
      </w:hyperlink>
      <w:r w:rsidRPr="00680558">
        <w:rPr>
          <w:rFonts w:ascii="Garamond" w:hAnsi="Garamond"/>
          <w:color w:val="000000" w:themeColor="text1"/>
          <w:sz w:val="17"/>
          <w:szCs w:val="17"/>
        </w:rPr>
        <w:t xml:space="preserve"> </w:t>
      </w:r>
    </w:p>
    <w:p w14:paraId="2771CF00" w14:textId="6819B52E" w:rsidR="001A07C5" w:rsidRPr="00C14918" w:rsidRDefault="001A07C5">
      <w:pPr>
        <w:pStyle w:val="FootnoteText"/>
        <w:rPr>
          <w:rFonts w:ascii="Garamond" w:hAnsi="Garamond"/>
          <w:sz w:val="17"/>
          <w:szCs w:val="17"/>
        </w:rPr>
      </w:pPr>
    </w:p>
  </w:footnote>
  <w:footnote w:id="49">
    <w:p w14:paraId="49DC6DF8" w14:textId="6ED5BB2B"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America's forgotten Middle East Initiative:</w:t>
      </w:r>
      <w:r w:rsidRPr="00680558">
        <w:rPr>
          <w:rFonts w:ascii="Garamond" w:hAnsi="Garamond"/>
          <w:sz w:val="17"/>
          <w:szCs w:val="17"/>
        </w:rPr>
        <w:t>, 44. Wilson also argued that, because the Bolshevik Revolution invalidated the Sykes – Picot agreement for Russia, the whole agreement dissolved.</w:t>
      </w:r>
    </w:p>
  </w:footnote>
  <w:footnote w:id="50">
    <w:p w14:paraId="28739A76" w14:textId="68DFBA2F" w:rsidR="001A07C5" w:rsidRPr="00680558" w:rsidRDefault="001A07C5" w:rsidP="0030323A">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45.  </w:t>
      </w:r>
    </w:p>
  </w:footnote>
  <w:footnote w:id="51">
    <w:p w14:paraId="75F972C3" w14:textId="5895A214"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America's forgotten Middle East Initiative</w:t>
      </w:r>
      <w:r w:rsidRPr="00680558">
        <w:rPr>
          <w:rFonts w:ascii="Garamond" w:hAnsi="Garamond"/>
          <w:sz w:val="17"/>
          <w:szCs w:val="17"/>
        </w:rPr>
        <w:t xml:space="preserve">, 53; Norman Saul, </w:t>
      </w:r>
      <w:r w:rsidRPr="00680558">
        <w:rPr>
          <w:rFonts w:ascii="Garamond" w:hAnsi="Garamond"/>
          <w:i/>
          <w:iCs/>
          <w:sz w:val="17"/>
          <w:szCs w:val="17"/>
        </w:rPr>
        <w:t>The Life and Times of Charles R. Crane, 1858 - 1939: American businessman, philanthropist, and a founder of Russian studies in America</w:t>
      </w:r>
      <w:r w:rsidRPr="00680558">
        <w:rPr>
          <w:rFonts w:ascii="Garamond" w:hAnsi="Garamond"/>
          <w:sz w:val="17"/>
          <w:szCs w:val="17"/>
        </w:rPr>
        <w:t xml:space="preserve"> (</w:t>
      </w:r>
      <w:r w:rsidRPr="00680558">
        <w:rPr>
          <w:rFonts w:ascii="Garamond" w:hAnsi="Garamond"/>
          <w:noProof/>
          <w:sz w:val="17"/>
          <w:szCs w:val="17"/>
        </w:rPr>
        <w:t xml:space="preserve">Lanham: Lexington Books, 2013). </w:t>
      </w:r>
    </w:p>
  </w:footnote>
  <w:footnote w:id="52">
    <w:p w14:paraId="7DB49121" w14:textId="4092E7BC" w:rsidR="001A07C5" w:rsidRPr="00680558" w:rsidRDefault="001A07C5" w:rsidP="0030323A">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Saul, </w:t>
      </w:r>
      <w:r w:rsidRPr="00680558">
        <w:rPr>
          <w:rFonts w:ascii="Garamond" w:hAnsi="Garamond"/>
          <w:i/>
          <w:iCs/>
          <w:sz w:val="17"/>
          <w:szCs w:val="17"/>
        </w:rPr>
        <w:t>The Life and Times of Charles R. Crane, 1858 – 1939</w:t>
      </w:r>
    </w:p>
  </w:footnote>
  <w:footnote w:id="53">
    <w:p w14:paraId="1330AD94" w14:textId="1010454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America's forgotten Middle East Initiative</w:t>
      </w:r>
      <w:r w:rsidRPr="00680558">
        <w:rPr>
          <w:rFonts w:ascii="Garamond" w:hAnsi="Garamond"/>
          <w:sz w:val="17"/>
          <w:szCs w:val="17"/>
        </w:rPr>
        <w:t>, 55.</w:t>
      </w:r>
    </w:p>
  </w:footnote>
  <w:footnote w:id="54">
    <w:p w14:paraId="4D7FD3B7" w14:textId="3455C5F7"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America's forgotten Middle East Initiative</w:t>
      </w:r>
      <w:r w:rsidRPr="00680558">
        <w:rPr>
          <w:rFonts w:ascii="Garamond" w:hAnsi="Garamond"/>
          <w:sz w:val="17"/>
          <w:szCs w:val="17"/>
        </w:rPr>
        <w:t>, 56.</w:t>
      </w:r>
    </w:p>
  </w:footnote>
  <w:footnote w:id="55">
    <w:p w14:paraId="3BEA023A" w14:textId="2E6C50BC"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56; Terry, </w:t>
      </w:r>
      <w:r w:rsidRPr="00680558">
        <w:rPr>
          <w:rFonts w:ascii="Garamond" w:hAnsi="Garamond"/>
          <w:i/>
          <w:iCs/>
          <w:sz w:val="17"/>
          <w:szCs w:val="17"/>
        </w:rPr>
        <w:t xml:space="preserve">William Yale, </w:t>
      </w:r>
      <w:r w:rsidRPr="00680558">
        <w:rPr>
          <w:rFonts w:ascii="Garamond" w:hAnsi="Garamond"/>
          <w:sz w:val="17"/>
          <w:szCs w:val="17"/>
        </w:rPr>
        <w:t xml:space="preserve">7. </w:t>
      </w:r>
    </w:p>
  </w:footnote>
  <w:footnote w:id="56">
    <w:p w14:paraId="20C5394C" w14:textId="618378BE"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The British and French did not want to ascertain the wishes of the Syrian people. European oil companies had already staked their claims via the T.P.C. </w:t>
      </w:r>
    </w:p>
  </w:footnote>
  <w:footnote w:id="57">
    <w:p w14:paraId="1936C4D2" w14:textId="77777777" w:rsidR="001A07C5" w:rsidRPr="00C14918" w:rsidRDefault="001A07C5" w:rsidP="00BF6BAA">
      <w:pPr>
        <w:pStyle w:val="Bibliography"/>
        <w:ind w:left="720" w:hanging="720"/>
        <w:rPr>
          <w:rFonts w:ascii="Garamond" w:hAnsi="Garamond"/>
          <w:noProof/>
          <w:sz w:val="17"/>
          <w:szCs w:val="17"/>
        </w:rPr>
      </w:pPr>
      <w:r w:rsidRPr="00680558">
        <w:rPr>
          <w:rStyle w:val="FootnoteReference"/>
          <w:rFonts w:ascii="Garamond" w:hAnsi="Garamond"/>
          <w:sz w:val="17"/>
          <w:szCs w:val="17"/>
        </w:rPr>
        <w:footnoteRef/>
      </w:r>
      <w:r w:rsidRPr="00C14918">
        <w:rPr>
          <w:rFonts w:ascii="Garamond" w:hAnsi="Garamond"/>
          <w:sz w:val="17"/>
          <w:szCs w:val="17"/>
        </w:rPr>
        <w:t xml:space="preserve"> </w:t>
      </w:r>
      <w:r w:rsidRPr="00C14918">
        <w:rPr>
          <w:rFonts w:ascii="Garamond" w:hAnsi="Garamond"/>
          <w:noProof/>
          <w:sz w:val="17"/>
          <w:szCs w:val="17"/>
        </w:rPr>
        <w:t xml:space="preserve">King, Henry &amp; Crane, Charles. Report titled "Report of the American Section of the International Commission on Mandates in Turkey,” August 28, 1919, Papers Relating to the Foreign Relations of the United States, The Paris Peace Conference, 1919, Volume XII, Field Missions of the American Commission to Negotiate Peace, Document 380, Paris Peace Conf. 181.9102/9. </w:t>
      </w:r>
    </w:p>
    <w:p w14:paraId="78870D70" w14:textId="652967C8" w:rsidR="001A07C5" w:rsidRPr="00680558" w:rsidRDefault="001A07C5">
      <w:pPr>
        <w:pStyle w:val="FootnoteText"/>
        <w:rPr>
          <w:rFonts w:ascii="Garamond" w:hAnsi="Garamond"/>
          <w:i/>
          <w:iCs/>
          <w:sz w:val="17"/>
          <w:szCs w:val="17"/>
        </w:rPr>
      </w:pPr>
    </w:p>
  </w:footnote>
  <w:footnote w:id="58">
    <w:p w14:paraId="1B643062" w14:textId="283223CD"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It is debated if Yale actually wrote this report, or it was a previous report he had written which someone misinterpreted; Terry, </w:t>
      </w:r>
      <w:r w:rsidRPr="00680558">
        <w:rPr>
          <w:rFonts w:ascii="Garamond" w:hAnsi="Garamond"/>
          <w:i/>
          <w:iCs/>
          <w:sz w:val="17"/>
          <w:szCs w:val="17"/>
        </w:rPr>
        <w:t>William Yale</w:t>
      </w:r>
      <w:r w:rsidRPr="00680558">
        <w:rPr>
          <w:rFonts w:ascii="Garamond" w:hAnsi="Garamond"/>
          <w:sz w:val="17"/>
          <w:szCs w:val="17"/>
        </w:rPr>
        <w:t xml:space="preserve">, 12; Correspondence from Alfred Lybyer to Ediwn Gay, January 1933, King-Crane Commission Digital Archive, Oberlin College, Ohio, January 1933. </w:t>
      </w:r>
    </w:p>
  </w:footnote>
  <w:footnote w:id="59">
    <w:p w14:paraId="0546FF2E" w14:textId="514B5A3C" w:rsidR="001A07C5" w:rsidRPr="00680558" w:rsidRDefault="001A07C5">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173. </w:t>
      </w:r>
    </w:p>
  </w:footnote>
  <w:footnote w:id="60">
    <w:p w14:paraId="7AAE6343" w14:textId="2F56AC90"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DeNovo, John A. "The Movement for an Aggressive American Oil Policy Abroad, 1918-1920," </w:t>
      </w:r>
      <w:r w:rsidRPr="00680558">
        <w:rPr>
          <w:rFonts w:ascii="Garamond" w:hAnsi="Garamond"/>
          <w:i/>
          <w:iCs/>
          <w:sz w:val="17"/>
          <w:szCs w:val="17"/>
        </w:rPr>
        <w:t>The American Historical Review</w:t>
      </w:r>
      <w:r w:rsidRPr="00680558">
        <w:rPr>
          <w:rFonts w:ascii="Garamond" w:hAnsi="Garamond"/>
          <w:sz w:val="17"/>
          <w:szCs w:val="17"/>
        </w:rPr>
        <w:t xml:space="preserve"> 61, no. 4 (1956): </w:t>
      </w:r>
      <w:r w:rsidRPr="00680558">
        <w:rPr>
          <w:rFonts w:ascii="Garamond" w:hAnsi="Garamond"/>
          <w:i/>
          <w:iCs/>
          <w:sz w:val="17"/>
          <w:szCs w:val="17"/>
        </w:rPr>
        <w:t xml:space="preserve"> </w:t>
      </w:r>
      <w:r w:rsidRPr="00680558">
        <w:rPr>
          <w:rFonts w:ascii="Garamond" w:hAnsi="Garamond"/>
          <w:sz w:val="17"/>
          <w:szCs w:val="17"/>
        </w:rPr>
        <w:t>872</w:t>
      </w:r>
    </w:p>
  </w:footnote>
  <w:footnote w:id="61">
    <w:p w14:paraId="6DA0D3C0" w14:textId="26942DD1" w:rsidR="001A07C5" w:rsidRPr="00680558" w:rsidRDefault="001A07C5" w:rsidP="00680558">
      <w:pPr>
        <w:rPr>
          <w:rFonts w:ascii="Garamond" w:hAnsi="Garamond"/>
          <w:color w:val="000000" w:themeColor="text1"/>
          <w:sz w:val="17"/>
          <w:szCs w:val="17"/>
        </w:rPr>
      </w:pPr>
      <w:r w:rsidRPr="00680558">
        <w:rPr>
          <w:rStyle w:val="FootnoteReference"/>
          <w:rFonts w:ascii="Garamond" w:hAnsi="Garamond"/>
          <w:color w:val="000000" w:themeColor="text1"/>
          <w:sz w:val="17"/>
          <w:szCs w:val="17"/>
        </w:rPr>
        <w:footnoteRef/>
      </w:r>
      <w:r w:rsidRPr="00680558">
        <w:rPr>
          <w:rFonts w:ascii="Garamond" w:hAnsi="Garamond"/>
          <w:color w:val="000000" w:themeColor="text1"/>
          <w:sz w:val="17"/>
          <w:szCs w:val="17"/>
        </w:rPr>
        <w:t xml:space="preserve"> </w:t>
      </w:r>
      <w:r w:rsidRPr="00680558">
        <w:rPr>
          <w:rFonts w:ascii="Garamond" w:hAnsi="Garamond"/>
          <w:color w:val="000000" w:themeColor="text1"/>
          <w:sz w:val="17"/>
          <w:szCs w:val="17"/>
          <w:shd w:val="clear" w:color="auto" w:fill="FFFFFF"/>
        </w:rPr>
        <w:t>The Secretary of State to the Ambassador in Great Britain, July 26, 1920, Papers Relating to the Foreign Relations of the United States</w:t>
      </w:r>
    </w:p>
  </w:footnote>
  <w:footnote w:id="62">
    <w:p w14:paraId="4DE856C6" w14:textId="603F35CD" w:rsidR="001A07C5" w:rsidRPr="00680558" w:rsidRDefault="001A07C5" w:rsidP="0030323A">
      <w:pPr>
        <w:pStyle w:val="FootnoteText"/>
        <w:rPr>
          <w:rFonts w:ascii="Garamond" w:hAnsi="Garamond"/>
          <w:sz w:val="17"/>
          <w:szCs w:val="17"/>
        </w:rPr>
      </w:pPr>
      <w:r w:rsidRPr="00680558">
        <w:rPr>
          <w:rStyle w:val="FootnoteReference"/>
          <w:rFonts w:ascii="Garamond" w:hAnsi="Garamond"/>
          <w:color w:val="000000" w:themeColor="text1"/>
          <w:sz w:val="17"/>
          <w:szCs w:val="17"/>
        </w:rPr>
        <w:footnoteRef/>
      </w:r>
      <w:r w:rsidRPr="00680558">
        <w:rPr>
          <w:rFonts w:ascii="Garamond" w:hAnsi="Garamond"/>
          <w:color w:val="000000" w:themeColor="text1"/>
          <w:sz w:val="17"/>
          <w:szCs w:val="17"/>
        </w:rPr>
        <w:t xml:space="preserve"> </w:t>
      </w:r>
      <w:r w:rsidRPr="00C14918">
        <w:rPr>
          <w:rFonts w:ascii="Garamond" w:hAnsi="Garamond"/>
          <w:color w:val="000000" w:themeColor="text1"/>
          <w:sz w:val="17"/>
          <w:szCs w:val="17"/>
        </w:rPr>
        <w:t>Erez</w:t>
      </w:r>
      <w:r w:rsidRPr="00680558">
        <w:rPr>
          <w:rFonts w:ascii="Garamond" w:hAnsi="Garamond"/>
          <w:color w:val="000000" w:themeColor="text1"/>
          <w:sz w:val="17"/>
          <w:szCs w:val="17"/>
        </w:rPr>
        <w:t xml:space="preserve"> Manela, </w:t>
      </w:r>
      <w:r w:rsidRPr="00680558">
        <w:rPr>
          <w:rFonts w:ascii="Garamond" w:hAnsi="Garamond"/>
          <w:i/>
          <w:iCs/>
          <w:color w:val="000000" w:themeColor="text1"/>
          <w:sz w:val="17"/>
          <w:szCs w:val="17"/>
        </w:rPr>
        <w:t>The Wilsonian Moment: Self Determination and the International Origins of Anticolonial Nationalism</w:t>
      </w:r>
      <w:r w:rsidRPr="00680558">
        <w:rPr>
          <w:rFonts w:ascii="Garamond" w:hAnsi="Garamond"/>
          <w:color w:val="000000" w:themeColor="text1"/>
          <w:sz w:val="17"/>
          <w:szCs w:val="17"/>
        </w:rPr>
        <w:t xml:space="preserve"> (</w:t>
      </w:r>
      <w:r w:rsidRPr="00680558">
        <w:rPr>
          <w:rFonts w:ascii="Garamond" w:hAnsi="Garamond"/>
          <w:noProof/>
          <w:color w:val="000000" w:themeColor="text1"/>
          <w:sz w:val="17"/>
          <w:szCs w:val="17"/>
        </w:rPr>
        <w:t xml:space="preserve">New York: Oxford University Press, 2007). </w:t>
      </w:r>
    </w:p>
  </w:footnote>
  <w:footnote w:id="63">
    <w:p w14:paraId="6555C4AA" w14:textId="7AFCCA28"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Thomas Knock, </w:t>
      </w:r>
      <w:r w:rsidRPr="00680558">
        <w:rPr>
          <w:rFonts w:ascii="Garamond" w:hAnsi="Garamond"/>
          <w:i/>
          <w:iCs/>
          <w:sz w:val="17"/>
          <w:szCs w:val="17"/>
        </w:rPr>
        <w:t>To End All Wars: Woodrow Wilson and the Quest for a New World Order</w:t>
      </w:r>
      <w:r w:rsidRPr="00680558">
        <w:rPr>
          <w:rFonts w:ascii="Garamond" w:hAnsi="Garamond"/>
          <w:sz w:val="17"/>
          <w:szCs w:val="17"/>
        </w:rPr>
        <w:t xml:space="preserve"> (</w:t>
      </w:r>
      <w:r w:rsidRPr="00680558">
        <w:rPr>
          <w:rFonts w:ascii="Garamond" w:hAnsi="Garamond"/>
          <w:noProof/>
          <w:sz w:val="17"/>
          <w:szCs w:val="17"/>
        </w:rPr>
        <w:t xml:space="preserve">New York: Oxford University Press, 1992), </w:t>
      </w:r>
      <w:r w:rsidRPr="00680558">
        <w:rPr>
          <w:rFonts w:ascii="Garamond" w:hAnsi="Garamond"/>
          <w:sz w:val="17"/>
          <w:szCs w:val="17"/>
        </w:rPr>
        <w:t xml:space="preserve">212. </w:t>
      </w:r>
    </w:p>
  </w:footnote>
  <w:footnote w:id="64">
    <w:p w14:paraId="2666ACB0" w14:textId="67E6386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MacMillan, </w:t>
      </w:r>
      <w:r w:rsidRPr="00680558">
        <w:rPr>
          <w:rFonts w:ascii="Garamond" w:hAnsi="Garamond"/>
          <w:i/>
          <w:iCs/>
          <w:sz w:val="17"/>
          <w:szCs w:val="17"/>
        </w:rPr>
        <w:t>Peacemakers</w:t>
      </w:r>
      <w:r w:rsidRPr="00680558">
        <w:rPr>
          <w:rFonts w:ascii="Garamond" w:hAnsi="Garamond"/>
          <w:sz w:val="17"/>
          <w:szCs w:val="17"/>
        </w:rPr>
        <w:t xml:space="preserve">, 106. </w:t>
      </w:r>
    </w:p>
  </w:footnote>
  <w:footnote w:id="65">
    <w:p w14:paraId="4BFBAA3D" w14:textId="5B062759"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MacMillan, </w:t>
      </w:r>
      <w:r w:rsidRPr="00680558">
        <w:rPr>
          <w:rFonts w:ascii="Garamond" w:hAnsi="Garamond"/>
          <w:i/>
          <w:iCs/>
          <w:sz w:val="17"/>
          <w:szCs w:val="17"/>
        </w:rPr>
        <w:t xml:space="preserve">Peacemakers, </w:t>
      </w:r>
      <w:r w:rsidRPr="00680558">
        <w:rPr>
          <w:rFonts w:ascii="Garamond" w:hAnsi="Garamond"/>
          <w:sz w:val="17"/>
          <w:szCs w:val="17"/>
        </w:rPr>
        <w:t xml:space="preserve">469. </w:t>
      </w:r>
    </w:p>
  </w:footnote>
  <w:footnote w:id="66">
    <w:p w14:paraId="10BEB8E2" w14:textId="71B2A006"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Manela, </w:t>
      </w:r>
      <w:r w:rsidRPr="00680558">
        <w:rPr>
          <w:rFonts w:ascii="Garamond" w:hAnsi="Garamond"/>
          <w:i/>
          <w:iCs/>
          <w:sz w:val="17"/>
          <w:szCs w:val="17"/>
        </w:rPr>
        <w:t>The Wilsonian Moment</w:t>
      </w:r>
      <w:r w:rsidRPr="00680558">
        <w:rPr>
          <w:rFonts w:ascii="Garamond" w:hAnsi="Garamond"/>
          <w:sz w:val="17"/>
          <w:szCs w:val="17"/>
        </w:rPr>
        <w:t>.</w:t>
      </w:r>
    </w:p>
  </w:footnote>
  <w:footnote w:id="67">
    <w:p w14:paraId="7FC77DF4" w14:textId="18B2A62F" w:rsidR="001A07C5" w:rsidRPr="00680558" w:rsidRDefault="001A07C5" w:rsidP="0030323A">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Manela, </w:t>
      </w:r>
      <w:r w:rsidRPr="00680558">
        <w:rPr>
          <w:rFonts w:ascii="Garamond" w:hAnsi="Garamond"/>
          <w:i/>
          <w:iCs/>
          <w:sz w:val="17"/>
          <w:szCs w:val="17"/>
        </w:rPr>
        <w:t>The Wilsonian Moment,</w:t>
      </w:r>
      <w:r w:rsidRPr="00680558">
        <w:rPr>
          <w:rFonts w:ascii="Garamond" w:hAnsi="Garamond"/>
          <w:sz w:val="17"/>
          <w:szCs w:val="17"/>
        </w:rPr>
        <w:t xml:space="preserve"> 176; Patrick, America's forgotten Middle East Initiative, 56.  </w:t>
      </w:r>
    </w:p>
  </w:footnote>
  <w:footnote w:id="68">
    <w:p w14:paraId="23380143" w14:textId="62E22FBF" w:rsidR="001A07C5" w:rsidRPr="00680558" w:rsidRDefault="001A07C5" w:rsidP="0030323A">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J. H. Wilson, </w:t>
      </w:r>
      <w:r w:rsidRPr="00680558">
        <w:rPr>
          <w:rFonts w:ascii="Garamond" w:hAnsi="Garamond"/>
          <w:i/>
          <w:iCs/>
          <w:sz w:val="17"/>
          <w:szCs w:val="17"/>
        </w:rPr>
        <w:t>American Business and Foreign Policy 1920 – 1933</w:t>
      </w:r>
      <w:r w:rsidRPr="00680558">
        <w:rPr>
          <w:rFonts w:ascii="Garamond" w:hAnsi="Garamond"/>
          <w:sz w:val="17"/>
          <w:szCs w:val="17"/>
        </w:rPr>
        <w:t xml:space="preserve"> (</w:t>
      </w:r>
      <w:r w:rsidRPr="00680558">
        <w:rPr>
          <w:rFonts w:ascii="Garamond" w:hAnsi="Garamond"/>
          <w:noProof/>
          <w:sz w:val="17"/>
          <w:szCs w:val="17"/>
        </w:rPr>
        <w:t>New York: Beacon, 1971),</w:t>
      </w:r>
      <w:r w:rsidRPr="00680558">
        <w:rPr>
          <w:rFonts w:ascii="Garamond" w:hAnsi="Garamond"/>
          <w:sz w:val="17"/>
          <w:szCs w:val="17"/>
        </w:rPr>
        <w:t xml:space="preserve"> 187; Painter, “Oil and the American Century,” </w:t>
      </w:r>
      <w:r w:rsidRPr="00680558">
        <w:rPr>
          <w:rFonts w:ascii="Garamond" w:hAnsi="Garamond"/>
          <w:i/>
          <w:iCs/>
          <w:noProof/>
          <w:sz w:val="17"/>
          <w:szCs w:val="17"/>
        </w:rPr>
        <w:t>Journal of American History</w:t>
      </w:r>
      <w:r w:rsidRPr="00680558">
        <w:rPr>
          <w:rFonts w:ascii="Garamond" w:hAnsi="Garamond"/>
          <w:noProof/>
          <w:sz w:val="17"/>
          <w:szCs w:val="17"/>
        </w:rPr>
        <w:t xml:space="preserve">, (2012). </w:t>
      </w:r>
    </w:p>
  </w:footnote>
  <w:footnote w:id="69">
    <w:p w14:paraId="3695387D" w14:textId="2340FA31" w:rsidR="001A07C5" w:rsidRPr="00680558" w:rsidRDefault="001A07C5" w:rsidP="0030323A">
      <w:pPr>
        <w:pStyle w:val="FootnoteText"/>
        <w:rPr>
          <w:rFonts w:ascii="Garamond" w:hAnsi="Garamond"/>
          <w:noProof/>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Emily Rosenberg, </w:t>
      </w:r>
      <w:r w:rsidRPr="00680558">
        <w:rPr>
          <w:rFonts w:ascii="Garamond" w:hAnsi="Garamond"/>
          <w:i/>
          <w:iCs/>
          <w:sz w:val="17"/>
          <w:szCs w:val="17"/>
        </w:rPr>
        <w:t>Spreading the American Dream: American Economic and Cultural Expansion, 1890 – 1945</w:t>
      </w:r>
      <w:r w:rsidRPr="00680558">
        <w:rPr>
          <w:rFonts w:ascii="Garamond" w:hAnsi="Garamond"/>
          <w:sz w:val="17"/>
          <w:szCs w:val="17"/>
        </w:rPr>
        <w:t xml:space="preserve"> (</w:t>
      </w:r>
      <w:r w:rsidRPr="00680558">
        <w:rPr>
          <w:rFonts w:ascii="Garamond" w:hAnsi="Garamond"/>
          <w:noProof/>
          <w:sz w:val="17"/>
          <w:szCs w:val="17"/>
        </w:rPr>
        <w:t>New York: Hill and Wang, 1999);</w:t>
      </w:r>
      <w:r w:rsidRPr="00680558">
        <w:rPr>
          <w:rFonts w:ascii="Garamond" w:hAnsi="Garamond"/>
          <w:sz w:val="17"/>
          <w:szCs w:val="17"/>
        </w:rPr>
        <w:t xml:space="preserve"> 129; John DeNovo, “The Movement for an Aggressive American Oil Policy Abroad, 1918-1920,” </w:t>
      </w:r>
      <w:r w:rsidRPr="00680558">
        <w:rPr>
          <w:rFonts w:ascii="Garamond" w:hAnsi="Garamond"/>
          <w:i/>
          <w:iCs/>
          <w:noProof/>
          <w:sz w:val="17"/>
          <w:szCs w:val="17"/>
        </w:rPr>
        <w:t xml:space="preserve">The American Historical Review </w:t>
      </w:r>
      <w:r w:rsidRPr="00680558">
        <w:rPr>
          <w:rFonts w:ascii="Garamond" w:hAnsi="Garamond"/>
          <w:noProof/>
          <w:sz w:val="17"/>
          <w:szCs w:val="17"/>
        </w:rPr>
        <w:t xml:space="preserve">61, no. 4 (1956): </w:t>
      </w:r>
      <w:r w:rsidRPr="00680558">
        <w:rPr>
          <w:rFonts w:ascii="Garamond" w:hAnsi="Garamond"/>
          <w:i/>
          <w:iCs/>
          <w:noProof/>
          <w:sz w:val="17"/>
          <w:szCs w:val="17"/>
        </w:rPr>
        <w:t xml:space="preserve"> </w:t>
      </w:r>
      <w:r w:rsidRPr="00680558">
        <w:rPr>
          <w:rFonts w:ascii="Garamond" w:hAnsi="Garamond"/>
          <w:noProof/>
          <w:sz w:val="17"/>
          <w:szCs w:val="17"/>
        </w:rPr>
        <w:t>854 – 876; Also see Daniel Yergin,</w:t>
      </w:r>
      <w:r w:rsidRPr="00680558">
        <w:rPr>
          <w:rFonts w:ascii="Garamond" w:hAnsi="Garamond"/>
          <w:i/>
          <w:iCs/>
          <w:noProof/>
          <w:sz w:val="17"/>
          <w:szCs w:val="17"/>
        </w:rPr>
        <w:t xml:space="preserve"> The Prize: The Epic Quest for Oil, Money, &amp; Power (</w:t>
      </w:r>
      <w:r w:rsidRPr="00680558">
        <w:rPr>
          <w:rFonts w:ascii="Garamond" w:hAnsi="Garamond"/>
          <w:noProof/>
          <w:sz w:val="17"/>
          <w:szCs w:val="17"/>
        </w:rPr>
        <w:t>New York Free Press, 2009).</w:t>
      </w:r>
    </w:p>
  </w:footnote>
  <w:footnote w:id="70">
    <w:p w14:paraId="1A8DA8C5" w14:textId="2415E060"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Harry Howard, </w:t>
      </w:r>
      <w:r w:rsidRPr="00680558">
        <w:rPr>
          <w:rFonts w:ascii="Garamond" w:hAnsi="Garamond"/>
          <w:i/>
          <w:iCs/>
          <w:sz w:val="17"/>
          <w:szCs w:val="17"/>
        </w:rPr>
        <w:t xml:space="preserve">The King – Crane Commission: An American Inquiry in the Middle East </w:t>
      </w:r>
      <w:r w:rsidRPr="00680558">
        <w:rPr>
          <w:rFonts w:ascii="Garamond" w:hAnsi="Garamond"/>
          <w:sz w:val="17"/>
          <w:szCs w:val="17"/>
        </w:rPr>
        <w:t xml:space="preserve">(Beirut: Khayat, 1963). </w:t>
      </w:r>
    </w:p>
  </w:footnote>
  <w:footnote w:id="71">
    <w:p w14:paraId="15A4E263" w14:textId="2CC726AA"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America's forgotten Middle East Initiative</w:t>
      </w:r>
      <w:r w:rsidRPr="00680558">
        <w:rPr>
          <w:rFonts w:ascii="Garamond" w:hAnsi="Garamond"/>
          <w:sz w:val="17"/>
          <w:szCs w:val="17"/>
        </w:rPr>
        <w:t xml:space="preserve">, 259. </w:t>
      </w:r>
    </w:p>
  </w:footnote>
  <w:footnote w:id="72">
    <w:p w14:paraId="718DB4AC" w14:textId="3CC2E6B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Kent, </w:t>
      </w:r>
      <w:r w:rsidRPr="00680558">
        <w:rPr>
          <w:rFonts w:ascii="Garamond" w:hAnsi="Garamond"/>
          <w:i/>
          <w:iCs/>
          <w:sz w:val="17"/>
          <w:szCs w:val="17"/>
        </w:rPr>
        <w:t>Oil and Empire</w:t>
      </w:r>
      <w:r w:rsidRPr="00680558">
        <w:rPr>
          <w:rFonts w:ascii="Garamond" w:hAnsi="Garamond"/>
          <w:sz w:val="17"/>
          <w:szCs w:val="17"/>
        </w:rPr>
        <w:t xml:space="preserve">, 133; Peter Sluglett, </w:t>
      </w:r>
      <w:r w:rsidRPr="00680558">
        <w:rPr>
          <w:rFonts w:ascii="Garamond" w:hAnsi="Garamond"/>
          <w:i/>
          <w:iCs/>
          <w:sz w:val="17"/>
          <w:szCs w:val="17"/>
        </w:rPr>
        <w:t>Britain in Iraq: 1914 – 1934</w:t>
      </w:r>
      <w:r w:rsidRPr="00680558">
        <w:rPr>
          <w:rFonts w:ascii="Garamond" w:hAnsi="Garamond"/>
          <w:sz w:val="17"/>
          <w:szCs w:val="17"/>
        </w:rPr>
        <w:t>, (</w:t>
      </w:r>
      <w:r w:rsidRPr="00680558">
        <w:rPr>
          <w:rFonts w:ascii="Garamond" w:hAnsi="Garamond"/>
          <w:noProof/>
          <w:sz w:val="17"/>
          <w:szCs w:val="17"/>
        </w:rPr>
        <w:t xml:space="preserve">London: Ithaca Press, 1976), </w:t>
      </w:r>
      <w:r w:rsidRPr="00680558">
        <w:rPr>
          <w:rFonts w:ascii="Garamond" w:hAnsi="Garamond"/>
          <w:sz w:val="17"/>
          <w:szCs w:val="17"/>
        </w:rPr>
        <w:t xml:space="preserve">32. For more on oil politics of the time, see:  </w:t>
      </w:r>
      <w:r w:rsidRPr="00680558">
        <w:rPr>
          <w:rFonts w:ascii="Garamond" w:hAnsi="Garamond" w:cs="Times New Roman"/>
          <w:color w:val="000000" w:themeColor="text1"/>
          <w:sz w:val="17"/>
          <w:szCs w:val="17"/>
        </w:rPr>
        <w:t xml:space="preserve">Gareth Jones, </w:t>
      </w:r>
      <w:r w:rsidRPr="00680558">
        <w:rPr>
          <w:rFonts w:ascii="Garamond" w:hAnsi="Garamond" w:cs="Times New Roman"/>
          <w:i/>
          <w:iCs/>
          <w:color w:val="000000" w:themeColor="text1"/>
          <w:sz w:val="17"/>
          <w:szCs w:val="17"/>
        </w:rPr>
        <w:t xml:space="preserve">The British Government and the Oil </w:t>
      </w:r>
      <w:r w:rsidRPr="00680558">
        <w:rPr>
          <w:rFonts w:ascii="Garamond" w:hAnsi="Garamond" w:cs="Times New Roman"/>
          <w:color w:val="000000" w:themeColor="text1"/>
          <w:sz w:val="17"/>
          <w:szCs w:val="17"/>
        </w:rPr>
        <w:t xml:space="preserve">Companies; John DeNovo, </w:t>
      </w:r>
      <w:r w:rsidRPr="00680558">
        <w:rPr>
          <w:rFonts w:ascii="Garamond" w:hAnsi="Garamond" w:cs="Times New Roman"/>
          <w:i/>
          <w:iCs/>
          <w:color w:val="000000" w:themeColor="text1"/>
          <w:sz w:val="17"/>
          <w:szCs w:val="17"/>
        </w:rPr>
        <w:t>The Movement for an Aggressive American Oil Policy Abroad, 1918-1920</w:t>
      </w:r>
      <w:r w:rsidRPr="00680558">
        <w:rPr>
          <w:rFonts w:ascii="Garamond" w:hAnsi="Garamond" w:cs="Times New Roman"/>
          <w:color w:val="000000" w:themeColor="text1"/>
          <w:sz w:val="17"/>
          <w:szCs w:val="17"/>
        </w:rPr>
        <w:t>;</w:t>
      </w:r>
      <w:r w:rsidRPr="00680558">
        <w:rPr>
          <w:rFonts w:ascii="Garamond" w:hAnsi="Garamond" w:cs="Times New Roman"/>
          <w:i/>
          <w:iCs/>
          <w:color w:val="000000" w:themeColor="text1"/>
          <w:sz w:val="17"/>
          <w:szCs w:val="17"/>
        </w:rPr>
        <w:t xml:space="preserve"> </w:t>
      </w:r>
      <w:r w:rsidRPr="00680558">
        <w:rPr>
          <w:rFonts w:ascii="Garamond" w:hAnsi="Garamond" w:cs="Times New Roman"/>
          <w:color w:val="000000" w:themeColor="text1"/>
          <w:sz w:val="17"/>
          <w:szCs w:val="17"/>
        </w:rPr>
        <w:t xml:space="preserve">and William Stivers, </w:t>
      </w:r>
      <w:r w:rsidRPr="00680558">
        <w:rPr>
          <w:rFonts w:ascii="Garamond" w:hAnsi="Garamond" w:cs="Times New Roman"/>
          <w:i/>
          <w:iCs/>
          <w:color w:val="000000" w:themeColor="text1"/>
          <w:sz w:val="17"/>
          <w:szCs w:val="17"/>
        </w:rPr>
        <w:t>International Politics and Iraqi Oil, 1918-1928- A Study in Anglo-American Diplomacy.</w:t>
      </w:r>
    </w:p>
  </w:footnote>
  <w:footnote w:id="73">
    <w:p w14:paraId="645919FA" w14:textId="6755868E"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Rosenberg, </w:t>
      </w:r>
      <w:r w:rsidRPr="00680558">
        <w:rPr>
          <w:rFonts w:ascii="Garamond" w:hAnsi="Garamond"/>
          <w:i/>
          <w:iCs/>
          <w:sz w:val="17"/>
          <w:szCs w:val="17"/>
        </w:rPr>
        <w:t>Spreading the American Dream</w:t>
      </w:r>
      <w:r w:rsidRPr="00680558">
        <w:rPr>
          <w:rFonts w:ascii="Garamond" w:hAnsi="Garamond"/>
          <w:sz w:val="17"/>
          <w:szCs w:val="17"/>
        </w:rPr>
        <w:t xml:space="preserve">, 12. </w:t>
      </w:r>
    </w:p>
  </w:footnote>
  <w:footnote w:id="74">
    <w:p w14:paraId="49467073" w14:textId="4D17B9BC"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America's forgotten Middle East Initiative</w:t>
      </w:r>
      <w:r w:rsidRPr="00680558">
        <w:rPr>
          <w:rFonts w:ascii="Garamond" w:hAnsi="Garamond"/>
          <w:sz w:val="17"/>
          <w:szCs w:val="17"/>
        </w:rPr>
        <w:t xml:space="preserve">, 83, 173. </w:t>
      </w:r>
    </w:p>
  </w:footnote>
  <w:footnote w:id="75">
    <w:p w14:paraId="3BA10AFA" w14:textId="78933A1A" w:rsidR="001A07C5" w:rsidRPr="00680558" w:rsidRDefault="001A07C5">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 xml:space="preserve">America’s Forgotten Middle East Initiative, </w:t>
      </w:r>
      <w:r w:rsidRPr="00680558">
        <w:rPr>
          <w:rFonts w:ascii="Garamond" w:hAnsi="Garamond"/>
          <w:sz w:val="17"/>
          <w:szCs w:val="17"/>
        </w:rPr>
        <w:t xml:space="preserve">260, 262. </w:t>
      </w:r>
      <w:r w:rsidRPr="00680558">
        <w:rPr>
          <w:rFonts w:ascii="Garamond" w:hAnsi="Garamond"/>
          <w:b/>
          <w:bCs/>
          <w:sz w:val="17"/>
          <w:szCs w:val="17"/>
        </w:rPr>
        <w:t xml:space="preserve"> </w:t>
      </w:r>
    </w:p>
  </w:footnote>
  <w:footnote w:id="76">
    <w:p w14:paraId="59A20F21" w14:textId="7D4DCBCC"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See: </w:t>
      </w:r>
      <w:r w:rsidRPr="00680558">
        <w:rPr>
          <w:rFonts w:ascii="Garamond" w:hAnsi="Garamond"/>
          <w:noProof/>
          <w:sz w:val="17"/>
          <w:szCs w:val="17"/>
        </w:rPr>
        <w:t xml:space="preserve">Memorandum titled "Memorandum by William Yale Concering Oil ." King-Crane Commission Digital Collection;  </w:t>
      </w:r>
      <w:r w:rsidRPr="00680558">
        <w:rPr>
          <w:rFonts w:ascii="Garamond" w:hAnsi="Garamond"/>
          <w:sz w:val="17"/>
          <w:szCs w:val="17"/>
        </w:rPr>
        <w:t xml:space="preserve">Yale, William. Report by William Yale entitled "The Position of the Syrian Question Today," October 21, 1919, Box 3, Folder 7, William Yale Papers, University of New Hampshire, Durham; </w:t>
      </w:r>
      <w:r w:rsidRPr="00680558">
        <w:rPr>
          <w:rFonts w:ascii="Garamond" w:hAnsi="Garamond"/>
          <w:noProof/>
          <w:sz w:val="17"/>
          <w:szCs w:val="17"/>
        </w:rPr>
        <w:t>Document titled "Suggested Answers to Attached Questionnaire," 1919,  King-Crane Commission Digital Archive, Oberlin College, Ohio, May 1</w:t>
      </w:r>
    </w:p>
  </w:footnote>
  <w:footnote w:id="77">
    <w:p w14:paraId="075DF37D" w14:textId="3D33540A" w:rsidR="001A07C5" w:rsidRPr="00680558" w:rsidRDefault="001A07C5">
      <w:pPr>
        <w:pStyle w:val="FootnoteText"/>
        <w:rPr>
          <w:rFonts w:ascii="Garamond" w:hAnsi="Garamond"/>
          <w:i/>
          <w:i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James Gelvin, “The Ironic Legacy of the King – Crane Commission,” in </w:t>
      </w:r>
      <w:r w:rsidRPr="00680558">
        <w:rPr>
          <w:rFonts w:ascii="Garamond" w:hAnsi="Garamond"/>
          <w:i/>
          <w:iCs/>
          <w:noProof/>
          <w:sz w:val="17"/>
          <w:szCs w:val="17"/>
        </w:rPr>
        <w:t xml:space="preserve">The Middle East and the United States: A Historical and Political Reassessment </w:t>
      </w:r>
      <w:r w:rsidRPr="00680558">
        <w:rPr>
          <w:rFonts w:ascii="Garamond" w:hAnsi="Garamond"/>
          <w:noProof/>
          <w:sz w:val="17"/>
          <w:szCs w:val="17"/>
        </w:rPr>
        <w:t>, ed., J. Gelvin (Boulder, CO: Westview Press, 2007)</w:t>
      </w:r>
    </w:p>
  </w:footnote>
  <w:footnote w:id="78">
    <w:p w14:paraId="5D6B24F8" w14:textId="186D986F"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The status of this report is debated. See page 18; Terry, </w:t>
      </w:r>
      <w:r w:rsidRPr="00680558">
        <w:rPr>
          <w:rFonts w:ascii="Garamond" w:hAnsi="Garamond"/>
          <w:i/>
          <w:iCs/>
          <w:sz w:val="17"/>
          <w:szCs w:val="17"/>
        </w:rPr>
        <w:t xml:space="preserve">William Yale, </w:t>
      </w:r>
      <w:r w:rsidRPr="00680558">
        <w:rPr>
          <w:rFonts w:ascii="Garamond" w:hAnsi="Garamond"/>
          <w:sz w:val="17"/>
          <w:szCs w:val="17"/>
        </w:rPr>
        <w:t xml:space="preserve">18. </w:t>
      </w:r>
    </w:p>
  </w:footnote>
  <w:footnote w:id="79">
    <w:p w14:paraId="2E54C372" w14:textId="4754A889"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See: </w:t>
      </w:r>
      <w:r w:rsidRPr="00680558">
        <w:rPr>
          <w:rFonts w:ascii="Garamond" w:hAnsi="Garamond"/>
          <w:noProof/>
          <w:sz w:val="17"/>
          <w:szCs w:val="17"/>
        </w:rPr>
        <w:t xml:space="preserve">Memorandum titled "Memorandum by William Yale Concering Oil ." King-Crane Commission Digital Collection;  </w:t>
      </w:r>
      <w:r w:rsidRPr="00680558">
        <w:rPr>
          <w:rFonts w:ascii="Garamond" w:hAnsi="Garamond"/>
          <w:sz w:val="17"/>
          <w:szCs w:val="17"/>
        </w:rPr>
        <w:t xml:space="preserve">Yale, William. Report by William Yale entitled "The Position of the Syrian Question Today," October 21, 1919, Box 3, Folder 7, William Yale Papers, University of New Hampshire, Durham; </w:t>
      </w:r>
      <w:r w:rsidRPr="00680558">
        <w:rPr>
          <w:rFonts w:ascii="Garamond" w:hAnsi="Garamond"/>
          <w:noProof/>
          <w:sz w:val="17"/>
          <w:szCs w:val="17"/>
        </w:rPr>
        <w:t xml:space="preserve">Document titled "Suggested Answers to Attached Questionnaire," 1919,  King-Crane Commission Digital Archive, Oberlin College, Ohio, May 1; </w:t>
      </w:r>
    </w:p>
  </w:footnote>
  <w:footnote w:id="80">
    <w:p w14:paraId="37A3B839" w14:textId="4CECCD2D"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This paper finds that Crane, in fact, did not advocate for oil interests while on the K.C.C. At the outset, one would assume that someone with Crane’s credentials plays a key role in oil considerations. This necessitates that the paper explores Crane’s interaction with oil interests, which it does later on. However, this exploration finds that Crane did not think much of oil while on the K.C.C. Generous comments by Normal Saul, author of </w:t>
      </w:r>
      <w:r w:rsidRPr="00680558">
        <w:rPr>
          <w:rFonts w:ascii="Garamond" w:hAnsi="Garamond"/>
          <w:i/>
          <w:iCs/>
          <w:sz w:val="17"/>
          <w:szCs w:val="17"/>
        </w:rPr>
        <w:t xml:space="preserve">The Life and Times of Charles R. Crane, </w:t>
      </w:r>
      <w:r w:rsidRPr="00680558">
        <w:rPr>
          <w:rFonts w:ascii="Garamond" w:hAnsi="Garamond"/>
          <w:sz w:val="17"/>
          <w:szCs w:val="17"/>
        </w:rPr>
        <w:t xml:space="preserve">affirm these findings. </w:t>
      </w:r>
    </w:p>
  </w:footnote>
  <w:footnote w:id="81">
    <w:p w14:paraId="04DAB3D3" w14:textId="53A5AD9A"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Saul, </w:t>
      </w:r>
      <w:r w:rsidRPr="00680558">
        <w:rPr>
          <w:rFonts w:ascii="Garamond" w:hAnsi="Garamond"/>
          <w:i/>
          <w:iCs/>
          <w:sz w:val="17"/>
          <w:szCs w:val="17"/>
        </w:rPr>
        <w:t>The Life and Times of Charles R. Crane</w:t>
      </w:r>
      <w:r w:rsidRPr="00680558">
        <w:rPr>
          <w:rFonts w:ascii="Garamond" w:hAnsi="Garamond"/>
          <w:sz w:val="17"/>
          <w:szCs w:val="17"/>
        </w:rPr>
        <w:t xml:space="preserve">, 50, 57. </w:t>
      </w:r>
    </w:p>
  </w:footnote>
  <w:footnote w:id="82">
    <w:p w14:paraId="55315D19" w14:textId="50D3523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America's forgotten Middle East Initiative</w:t>
      </w:r>
      <w:r w:rsidRPr="00680558">
        <w:rPr>
          <w:rFonts w:ascii="Garamond" w:hAnsi="Garamond"/>
          <w:sz w:val="17"/>
          <w:szCs w:val="17"/>
        </w:rPr>
        <w:t xml:space="preserve">, 260. </w:t>
      </w:r>
    </w:p>
  </w:footnote>
  <w:footnote w:id="83">
    <w:p w14:paraId="61CD71CE" w14:textId="76A38044" w:rsidR="001A07C5" w:rsidRPr="00680558" w:rsidRDefault="001A07C5" w:rsidP="0030323A">
      <w:pPr>
        <w:pStyle w:val="FootnoteText"/>
        <w:rPr>
          <w:rFonts w:ascii="Garamond" w:hAnsi="Garamond"/>
          <w:noProof/>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Saul, </w:t>
      </w:r>
      <w:r w:rsidRPr="00680558">
        <w:rPr>
          <w:rFonts w:ascii="Garamond" w:hAnsi="Garamond"/>
          <w:i/>
          <w:iCs/>
          <w:sz w:val="17"/>
          <w:szCs w:val="17"/>
        </w:rPr>
        <w:t>The Life and Times of Charles R. Crane</w:t>
      </w:r>
      <w:r w:rsidRPr="00680558">
        <w:rPr>
          <w:rFonts w:ascii="Garamond" w:hAnsi="Garamond"/>
          <w:sz w:val="17"/>
          <w:szCs w:val="17"/>
        </w:rPr>
        <w:t xml:space="preserve">, 88; </w:t>
      </w:r>
      <w:r w:rsidRPr="00680558">
        <w:rPr>
          <w:rFonts w:ascii="Garamond" w:hAnsi="Garamond"/>
          <w:noProof/>
          <w:sz w:val="17"/>
          <w:szCs w:val="17"/>
        </w:rPr>
        <w:t xml:space="preserve">Reimer, “The King–Crane Commission at the Juncture of Politics and Historiography, 139. </w:t>
      </w:r>
    </w:p>
  </w:footnote>
  <w:footnote w:id="84">
    <w:p w14:paraId="2193D0FE" w14:textId="3F8A46CE"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Reimer, “The King Crane - Commission at the Juncture of Politics and Historiography,” 131, 149. </w:t>
      </w:r>
    </w:p>
  </w:footnote>
  <w:footnote w:id="85">
    <w:p w14:paraId="3EC55BFE" w14:textId="00D7D212" w:rsidR="001A07C5" w:rsidRPr="00C14918" w:rsidRDefault="001A07C5" w:rsidP="0030323A">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Gelvin, “The Ironic Legacy,” 26. </w:t>
      </w:r>
    </w:p>
  </w:footnote>
  <w:footnote w:id="86">
    <w:p w14:paraId="07420934" w14:textId="04602FD3"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Many different factors can account for this omission: Most notably, that the K.C.C. has been discarded as an example of Wilson’s hypocrisy. Or, that the K.C.C.’s findings were not supported by the Peace Conference. As this paper finds, the K.C.C. should also be interpreted in the role </w:t>
      </w:r>
      <w:r w:rsidRPr="00515DA9">
        <w:rPr>
          <w:rFonts w:ascii="Garamond" w:hAnsi="Garamond"/>
          <w:sz w:val="17"/>
          <w:szCs w:val="17"/>
        </w:rPr>
        <w:t>it</w:t>
      </w:r>
      <w:r w:rsidRPr="00680558">
        <w:rPr>
          <w:rFonts w:ascii="Garamond" w:hAnsi="Garamond"/>
          <w:sz w:val="17"/>
          <w:szCs w:val="17"/>
        </w:rPr>
        <w:t xml:space="preserve"> plays in nascent oil competition. </w:t>
      </w:r>
    </w:p>
  </w:footnote>
  <w:footnote w:id="87">
    <w:p w14:paraId="2B8054A8" w14:textId="24CB6CDA"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Sluglett, </w:t>
      </w:r>
      <w:r w:rsidRPr="00680558">
        <w:rPr>
          <w:rFonts w:ascii="Garamond" w:hAnsi="Garamond"/>
          <w:i/>
          <w:iCs/>
          <w:sz w:val="17"/>
          <w:szCs w:val="17"/>
        </w:rPr>
        <w:t>Britain in Iraq</w:t>
      </w:r>
      <w:r w:rsidRPr="00680558">
        <w:rPr>
          <w:rFonts w:ascii="Garamond" w:hAnsi="Garamond"/>
          <w:sz w:val="17"/>
          <w:szCs w:val="17"/>
        </w:rPr>
        <w:t xml:space="preserve">, 104. </w:t>
      </w:r>
    </w:p>
  </w:footnote>
  <w:footnote w:id="88">
    <w:p w14:paraId="753C792F" w14:textId="5617394A"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Kent, </w:t>
      </w:r>
      <w:r w:rsidRPr="00680558">
        <w:rPr>
          <w:rFonts w:ascii="Garamond" w:hAnsi="Garamond"/>
          <w:i/>
          <w:iCs/>
          <w:sz w:val="17"/>
          <w:szCs w:val="17"/>
        </w:rPr>
        <w:t>Oil and Empire</w:t>
      </w:r>
      <w:r w:rsidRPr="00680558">
        <w:rPr>
          <w:rFonts w:ascii="Garamond" w:hAnsi="Garamond"/>
          <w:sz w:val="17"/>
          <w:szCs w:val="17"/>
        </w:rPr>
        <w:t xml:space="preserve">, 7. </w:t>
      </w:r>
    </w:p>
  </w:footnote>
  <w:footnote w:id="89">
    <w:p w14:paraId="2C01FD35" w14:textId="1856FAF9"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Wilson, </w:t>
      </w:r>
      <w:r w:rsidRPr="00680558">
        <w:rPr>
          <w:rFonts w:ascii="Garamond" w:hAnsi="Garamond"/>
          <w:i/>
          <w:iCs/>
          <w:sz w:val="17"/>
          <w:szCs w:val="17"/>
        </w:rPr>
        <w:t>American Business and Foreign Policy</w:t>
      </w:r>
      <w:r w:rsidRPr="00680558">
        <w:rPr>
          <w:rFonts w:ascii="Garamond" w:hAnsi="Garamond"/>
          <w:sz w:val="17"/>
          <w:szCs w:val="17"/>
        </w:rPr>
        <w:t xml:space="preserve">, 184 – 185. </w:t>
      </w:r>
    </w:p>
  </w:footnote>
  <w:footnote w:id="90">
    <w:p w14:paraId="7FA38DF1" w14:textId="5CE61C10"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DeNovo, “The Movement for an Aggressive Oil Policy;” Stivers, “International Politics and Iraqi Oil.” </w:t>
      </w:r>
    </w:p>
  </w:footnote>
  <w:footnote w:id="91">
    <w:p w14:paraId="635B9AEA" w14:textId="6B5EABF5"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American’s Forgotten Middle East Initiative</w:t>
      </w:r>
      <w:r w:rsidRPr="00680558">
        <w:rPr>
          <w:rFonts w:ascii="Garamond" w:hAnsi="Garamond"/>
          <w:sz w:val="17"/>
          <w:szCs w:val="17"/>
        </w:rPr>
        <w:t xml:space="preserve">, 86. </w:t>
      </w:r>
    </w:p>
  </w:footnote>
  <w:footnote w:id="92">
    <w:p w14:paraId="4C52F9D8" w14:textId="7E8B3EC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Wilson, </w:t>
      </w:r>
      <w:r w:rsidRPr="00680558">
        <w:rPr>
          <w:rFonts w:ascii="Garamond" w:hAnsi="Garamond"/>
          <w:i/>
          <w:iCs/>
          <w:sz w:val="17"/>
          <w:szCs w:val="17"/>
        </w:rPr>
        <w:t>American Business and Foreign Policy 1920 - 33</w:t>
      </w:r>
      <w:r w:rsidRPr="00680558">
        <w:rPr>
          <w:rFonts w:ascii="Garamond" w:hAnsi="Garamond"/>
          <w:sz w:val="17"/>
          <w:szCs w:val="17"/>
        </w:rPr>
        <w:t xml:space="preserve">, 187. Rosenberg, “Spreading the American Dream,” 135. </w:t>
      </w:r>
    </w:p>
  </w:footnote>
  <w:footnote w:id="93">
    <w:p w14:paraId="3F8D524F" w14:textId="37B14705" w:rsidR="001A07C5" w:rsidRPr="00C14918" w:rsidRDefault="001A07C5" w:rsidP="0030323A">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b/>
          <w:bCs/>
          <w:sz w:val="17"/>
          <w:szCs w:val="17"/>
        </w:rPr>
        <w:t xml:space="preserve"> </w:t>
      </w:r>
      <w:r w:rsidRPr="00680558">
        <w:rPr>
          <w:rFonts w:ascii="Garamond" w:hAnsi="Garamond"/>
          <w:sz w:val="17"/>
          <w:szCs w:val="17"/>
        </w:rPr>
        <w:t xml:space="preserve">Stivers, </w:t>
      </w:r>
      <w:r w:rsidRPr="00680558">
        <w:rPr>
          <w:rFonts w:ascii="Garamond" w:hAnsi="Garamond"/>
          <w:i/>
          <w:iCs/>
          <w:sz w:val="17"/>
          <w:szCs w:val="17"/>
        </w:rPr>
        <w:t>International Politics and Iraqi Oil</w:t>
      </w:r>
      <w:r w:rsidRPr="00680558">
        <w:rPr>
          <w:rFonts w:ascii="Garamond" w:hAnsi="Garamond"/>
          <w:sz w:val="17"/>
          <w:szCs w:val="17"/>
        </w:rPr>
        <w:t>.</w:t>
      </w:r>
    </w:p>
  </w:footnote>
  <w:footnote w:id="94">
    <w:p w14:paraId="13F44C8E" w14:textId="6F6B629D" w:rsidR="001A07C5" w:rsidRPr="00C14918" w:rsidRDefault="001A07C5" w:rsidP="00A844EB">
      <w:pPr>
        <w:pStyle w:val="FootnoteText"/>
        <w:rPr>
          <w:rFonts w:ascii="Garamond" w:hAnsi="Garamond"/>
          <w:sz w:val="17"/>
          <w:szCs w:val="17"/>
        </w:rPr>
      </w:pPr>
    </w:p>
  </w:footnote>
  <w:footnote w:id="95">
    <w:p w14:paraId="2B9B7EA9" w14:textId="33880A5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American’s Forgotten Middle East Initiative</w:t>
      </w:r>
      <w:r w:rsidRPr="00680558">
        <w:rPr>
          <w:rFonts w:ascii="Garamond" w:hAnsi="Garamond"/>
          <w:sz w:val="17"/>
          <w:szCs w:val="17"/>
        </w:rPr>
        <w:t>, 56.</w:t>
      </w:r>
    </w:p>
  </w:footnote>
  <w:footnote w:id="96">
    <w:p w14:paraId="0756EAB2" w14:textId="111AE934"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America’s Forgotten Middle East Initiative</w:t>
      </w:r>
      <w:r w:rsidRPr="00680558">
        <w:rPr>
          <w:rFonts w:ascii="Garamond" w:hAnsi="Garamond"/>
          <w:sz w:val="17"/>
          <w:szCs w:val="17"/>
        </w:rPr>
        <w:t xml:space="preserve">, 55. </w:t>
      </w:r>
    </w:p>
  </w:footnote>
  <w:footnote w:id="97">
    <w:p w14:paraId="2C766537" w14:textId="69F0DE2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Typescript of Dr. Westermann's personal diary: April 20, 1919 - July 4, 1919. Rare Book and Manuscript Library, Columbia University, N.Y., New York, </w:t>
      </w:r>
      <w:r w:rsidRPr="00680558">
        <w:rPr>
          <w:rFonts w:ascii="Garamond" w:hAnsi="Garamond"/>
          <w:sz w:val="17"/>
          <w:szCs w:val="17"/>
        </w:rPr>
        <w:t xml:space="preserve">67 (hereafter cited as Westermann’s Personal Diary, Rare Book and Manuscript Library). </w:t>
      </w:r>
    </w:p>
  </w:footnote>
  <w:footnote w:id="98">
    <w:p w14:paraId="5515AB72" w14:textId="0454DF60"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Patrick, </w:t>
      </w:r>
      <w:r w:rsidRPr="00680558">
        <w:rPr>
          <w:rFonts w:ascii="Garamond" w:hAnsi="Garamond"/>
          <w:i/>
          <w:iCs/>
          <w:sz w:val="17"/>
          <w:szCs w:val="17"/>
        </w:rPr>
        <w:t>America’s Forgotten Middle East Initiative</w:t>
      </w:r>
      <w:r w:rsidRPr="00680558">
        <w:rPr>
          <w:rFonts w:ascii="Garamond" w:hAnsi="Garamond"/>
          <w:sz w:val="17"/>
          <w:szCs w:val="17"/>
        </w:rPr>
        <w:t xml:space="preserve">, 55. </w:t>
      </w:r>
    </w:p>
  </w:footnote>
  <w:footnote w:id="99">
    <w:p w14:paraId="3B5F24A8" w14:textId="16899773"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Terry, </w:t>
      </w:r>
      <w:r w:rsidRPr="00680558">
        <w:rPr>
          <w:rFonts w:ascii="Garamond" w:hAnsi="Garamond"/>
          <w:i/>
          <w:iCs/>
          <w:noProof/>
          <w:sz w:val="17"/>
          <w:szCs w:val="17"/>
        </w:rPr>
        <w:t>William Yale</w:t>
      </w:r>
      <w:r w:rsidRPr="00680558">
        <w:rPr>
          <w:rFonts w:ascii="Garamond" w:hAnsi="Garamond"/>
          <w:noProof/>
          <w:sz w:val="17"/>
          <w:szCs w:val="17"/>
        </w:rPr>
        <w:t xml:space="preserve">, 71.  </w:t>
      </w:r>
    </w:p>
  </w:footnote>
  <w:footnote w:id="100">
    <w:p w14:paraId="4C0E1E9E" w14:textId="12CD8721"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Typescript of Westermann’s Personal Diary, Rare Books and Manuscripts Library, 66. </w:t>
      </w:r>
    </w:p>
  </w:footnote>
  <w:footnote w:id="101">
    <w:p w14:paraId="54B96837" w14:textId="7777777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cs="Times New Roman"/>
          <w:sz w:val="17"/>
          <w:szCs w:val="17"/>
        </w:rPr>
        <w:t>Though it is unclear if Picot knows Yale is on the Commission, the French had at least known about the Commission’s existence since late that March</w:t>
      </w:r>
    </w:p>
  </w:footnote>
  <w:footnote w:id="102">
    <w:p w14:paraId="67DFF77F" w14:textId="7E748B12"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Typescript of Westermann’s Personal Diary, Rare Books and Manuscripts Library, 66.</w:t>
      </w:r>
    </w:p>
  </w:footnote>
  <w:footnote w:id="103">
    <w:p w14:paraId="1626A419" w14:textId="119A1721"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Ibid. </w:t>
      </w:r>
    </w:p>
  </w:footnote>
  <w:footnote w:id="104">
    <w:p w14:paraId="63720834" w14:textId="1C66D16A"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Kent, </w:t>
      </w:r>
      <w:r w:rsidRPr="00680558">
        <w:rPr>
          <w:rFonts w:ascii="Garamond" w:hAnsi="Garamond"/>
          <w:i/>
          <w:iCs/>
          <w:sz w:val="17"/>
          <w:szCs w:val="17"/>
        </w:rPr>
        <w:t>Oil and Empire</w:t>
      </w:r>
      <w:r w:rsidRPr="00680558">
        <w:rPr>
          <w:rFonts w:ascii="Garamond" w:hAnsi="Garamond"/>
          <w:sz w:val="17"/>
          <w:szCs w:val="17"/>
        </w:rPr>
        <w:t xml:space="preserve">, 145. </w:t>
      </w:r>
    </w:p>
  </w:footnote>
  <w:footnote w:id="105">
    <w:p w14:paraId="7F22AE7F" w14:textId="09AF40A3"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w:t>
      </w:r>
      <w:r w:rsidRPr="00680558">
        <w:rPr>
          <w:rFonts w:ascii="Garamond" w:hAnsi="Garamond" w:cs="Times New Roman"/>
          <w:color w:val="000000" w:themeColor="text1"/>
          <w:sz w:val="17"/>
          <w:szCs w:val="17"/>
        </w:rPr>
        <w:t>he exact dates of the memoranda are unknown, but the Oberlin archives indicate both as from around May 1, 1919, marked as number 23 and 24.</w:t>
      </w:r>
    </w:p>
  </w:footnote>
  <w:footnote w:id="106">
    <w:p w14:paraId="40F2F8DB" w14:textId="4AE6CD6D"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Memorandum titled "Memorandum by William Yale Concering Oil ." King-Crane Commission Digital Collection, Oberlin College, Oberlin, Ohio (hereafter cited as Memorandum by William Yale Concerning Oil). </w:t>
      </w:r>
    </w:p>
  </w:footnote>
  <w:footnote w:id="107">
    <w:p w14:paraId="4441B490" w14:textId="454581F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08">
    <w:p w14:paraId="27B8CB56" w14:textId="363EB0E5"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09">
    <w:p w14:paraId="65E41BE8" w14:textId="194799D3"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cs="Times New Roman"/>
          <w:color w:val="000000" w:themeColor="text1"/>
          <w:sz w:val="17"/>
          <w:szCs w:val="17"/>
        </w:rPr>
        <w:t xml:space="preserve">It also highlights the attitude of a small group of policymakers in Washington, like Mark Requa of the Fuel Administration, Senator James D. Phelan, Van H. Manning, the director of the Bureau of Mines, Franklin K. Lane, the Secretary of the Interior from 1913 – 1920 and Josephus Daniels, Secretary of the Navy from 1913 - 1921. See </w:t>
      </w:r>
      <w:r w:rsidRPr="00680558">
        <w:rPr>
          <w:rFonts w:ascii="Garamond" w:hAnsi="Garamond"/>
          <w:sz w:val="17"/>
          <w:szCs w:val="17"/>
        </w:rPr>
        <w:t xml:space="preserve">DeNovo, “The Movement for an Aggressive Oil Policy Abroad.” Later sections will further explore their attitudes. </w:t>
      </w:r>
    </w:p>
  </w:footnote>
  <w:footnote w:id="110">
    <w:p w14:paraId="775D5F9B" w14:textId="7B99A9B5"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Wilson, </w:t>
      </w:r>
      <w:r w:rsidRPr="00680558">
        <w:rPr>
          <w:rFonts w:ascii="Garamond" w:hAnsi="Garamond"/>
          <w:i/>
          <w:iCs/>
          <w:sz w:val="17"/>
          <w:szCs w:val="17"/>
        </w:rPr>
        <w:t>American Business and Foreign Policy</w:t>
      </w:r>
      <w:r w:rsidRPr="00680558">
        <w:rPr>
          <w:rFonts w:ascii="Garamond" w:hAnsi="Garamond"/>
          <w:sz w:val="17"/>
          <w:szCs w:val="17"/>
        </w:rPr>
        <w:t xml:space="preserve">; Painter, “Oil and the American Century;” DeNovo, “The Movement for an Aggressive Oil Policy Abroad. </w:t>
      </w:r>
    </w:p>
  </w:footnote>
  <w:footnote w:id="111">
    <w:p w14:paraId="5429B472" w14:textId="0CB93BEA"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Memorandum by William Yale Concerning Oil </w:t>
      </w:r>
    </w:p>
  </w:footnote>
  <w:footnote w:id="112">
    <w:p w14:paraId="5EFC4C0F" w14:textId="271586E5"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Maurer, “Fuel and the Battle Fleet.” </w:t>
      </w:r>
    </w:p>
  </w:footnote>
  <w:footnote w:id="113">
    <w:p w14:paraId="5858BBB3" w14:textId="729BCA31" w:rsidR="001A07C5" w:rsidRPr="00680558" w:rsidRDefault="001A07C5" w:rsidP="003F6E19">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Memorandum by William Yale Concerning Oil</w:t>
      </w:r>
    </w:p>
  </w:footnote>
  <w:footnote w:id="114">
    <w:p w14:paraId="05500DF0" w14:textId="322F2FEC"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p>
  </w:footnote>
  <w:footnote w:id="115">
    <w:p w14:paraId="3B803268" w14:textId="215BAD7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Document titled "Suggested Answers to Attached Questionnaire," 1919,  King-Crane Commission Digital Archive, Oberlin College, Ohio, May 1 (hereafter cited as Suggested Answers to Attached Questionnaire, King-Crane Commission Digital Archive). </w:t>
      </w:r>
    </w:p>
  </w:footnote>
  <w:footnote w:id="116">
    <w:p w14:paraId="401A9068" w14:textId="4915C7EE"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Suggested Answers to Attached Questionnaire, King-Crane Commission Digital Archive</w:t>
      </w:r>
      <w:r w:rsidRPr="00680558">
        <w:rPr>
          <w:rFonts w:ascii="Garamond" w:hAnsi="Garamond"/>
          <w:sz w:val="17"/>
          <w:szCs w:val="17"/>
        </w:rPr>
        <w:t xml:space="preserve">. </w:t>
      </w:r>
    </w:p>
  </w:footnote>
  <w:footnote w:id="117">
    <w:p w14:paraId="0AEDAD2A" w14:textId="63A3DB23"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p>
  </w:footnote>
  <w:footnote w:id="118">
    <w:p w14:paraId="5B18EAC4" w14:textId="201ABA3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p>
  </w:footnote>
  <w:footnote w:id="119">
    <w:p w14:paraId="65F3381E" w14:textId="3C66840E"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p>
  </w:footnote>
  <w:footnote w:id="120">
    <w:p w14:paraId="1F54E7C4" w14:textId="48B09A62"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p>
  </w:footnote>
  <w:footnote w:id="121">
    <w:p w14:paraId="0F1D1D25" w14:textId="5C79075C"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DeNovo, “Petroleum and the U.S. Navy,” 649, 652, 654 </w:t>
      </w:r>
    </w:p>
  </w:footnote>
  <w:footnote w:id="122">
    <w:p w14:paraId="5CE4FFA4" w14:textId="7DB1C914" w:rsidR="001A07C5" w:rsidRPr="00C14918" w:rsidRDefault="001A07C5">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eastAsia="Times New Roman" w:hAnsi="Garamond" w:cs="Times New Roman"/>
          <w:color w:val="333333"/>
          <w:sz w:val="17"/>
          <w:szCs w:val="17"/>
          <w:shd w:val="clear" w:color="auto" w:fill="FFFFFF"/>
        </w:rPr>
        <w:t>The Secretary of State to the Ambassador in Great Britain, July 26, 1920, Papers Relating to the Foreign Relations of the United States</w:t>
      </w:r>
    </w:p>
  </w:footnote>
  <w:footnote w:id="123">
    <w:p w14:paraId="3EBCCBB6" w14:textId="1649F7E4"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Correspondence to Woodrow Wilson entitled "Memorandum by Henry Churchill King and Charles Richard Crane,” May 1919, Woodrow Wilson Archives, University of Virginia, Charlottesville, VA (hereafter cited as Memorandum by Henry Churchill King and Charles Richard Crane, Woodrow Wilson Archives). </w:t>
      </w:r>
    </w:p>
  </w:footnote>
  <w:footnote w:id="124">
    <w:p w14:paraId="6BDFE5C6" w14:textId="6E24315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25">
    <w:p w14:paraId="077EC2E9" w14:textId="0F6D4210"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322. </w:t>
      </w:r>
    </w:p>
  </w:footnote>
  <w:footnote w:id="126">
    <w:p w14:paraId="2508205D" w14:textId="1EBB1DFB"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323. </w:t>
      </w:r>
    </w:p>
  </w:footnote>
  <w:footnote w:id="127">
    <w:p w14:paraId="43CE60B5" w14:textId="463150BC"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28">
    <w:p w14:paraId="5F60E02F" w14:textId="684A14F4"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Westermann’s Personal Diary, Rare Book and Manuscript Library, 67. </w:t>
      </w:r>
    </w:p>
  </w:footnote>
  <w:footnote w:id="129">
    <w:p w14:paraId="22856283" w14:textId="7777777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4</w:t>
      </w:r>
    </w:p>
  </w:footnote>
  <w:footnote w:id="130">
    <w:p w14:paraId="59CFCE4E" w14:textId="097F34CE" w:rsidR="001A07C5" w:rsidRPr="00680558" w:rsidRDefault="001A07C5">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31">
    <w:p w14:paraId="72210398" w14:textId="32D0C534"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Transcript of Albert Lybyer's Diary, March to September 1919." King - Crane Commission Digital Collection, Oberlin College, Ohio, June 4 (hereafter cited as Albert Lybyer’s Diary, King – Crane Commission Digital Collection.)</w:t>
      </w:r>
    </w:p>
  </w:footnote>
  <w:footnote w:id="132">
    <w:p w14:paraId="7793CD69" w14:textId="3B5E606E"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33">
    <w:p w14:paraId="6535CA09" w14:textId="17978B78"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Lybyer mentions Thomas by his full name later in the diary.</w:t>
      </w:r>
    </w:p>
  </w:footnote>
  <w:footnote w:id="134">
    <w:p w14:paraId="7C3C2443" w14:textId="03B8EF4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cs="Times New Roman"/>
          <w:color w:val="000000" w:themeColor="text1"/>
          <w:sz w:val="17"/>
          <w:szCs w:val="17"/>
        </w:rPr>
        <w:t>Later sections will explore the extent of Thomas’s efforts.</w:t>
      </w:r>
    </w:p>
  </w:footnote>
  <w:footnote w:id="135">
    <w:p w14:paraId="2A480691" w14:textId="5CBB7EF5"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Albert Lybyer’s Diary, King – Crane Commission Digital Collection, June 4. </w:t>
      </w:r>
    </w:p>
  </w:footnote>
  <w:footnote w:id="136">
    <w:p w14:paraId="2830B5A1" w14:textId="05029BE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Later sections will explore this activity from Thomas’s perspective. Thomas probably orchestrated the encounters he had with the K.C.C.</w:t>
      </w:r>
    </w:p>
  </w:footnote>
  <w:footnote w:id="137">
    <w:p w14:paraId="6FB4A9DE" w14:textId="2EC4C3B5"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"Report by Albert H. Lybyer, 1 July 1919," July 1919, King - Crane Commission Digital Collection, Oberlin College, Ohio, 4. </w:t>
      </w:r>
    </w:p>
  </w:footnote>
  <w:footnote w:id="138">
    <w:p w14:paraId="00E59553" w14:textId="08C0B219"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39">
    <w:p w14:paraId="029E4562" w14:textId="5642DE2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"Report by Albert H. Lybyer, 1 July 1919," July 1919, King - Crane Commission Digital Collection, Oberlin College, Ohio, 4. </w:t>
      </w:r>
    </w:p>
  </w:footnote>
  <w:footnote w:id="140">
    <w:p w14:paraId="0CD864DF" w14:textId="738C5C6C"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See Appendix, Addendum III.  </w:t>
      </w:r>
    </w:p>
  </w:footnote>
  <w:footnote w:id="141">
    <w:p w14:paraId="64A27AB0" w14:textId="5022D783"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42">
    <w:p w14:paraId="7FA6DAF4" w14:textId="77777777" w:rsidR="001A07C5" w:rsidRPr="00C14918" w:rsidRDefault="001A07C5" w:rsidP="00A62136">
      <w:pPr>
        <w:pStyle w:val="Bibliography"/>
        <w:ind w:left="720" w:hanging="720"/>
        <w:rPr>
          <w:rFonts w:ascii="Garamond" w:hAnsi="Garamond"/>
          <w:noProof/>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Charles Crane. Transcript of unpublished memoir titled "</w:t>
      </w:r>
      <w:r w:rsidRPr="00680558">
        <w:rPr>
          <w:rFonts w:ascii="Garamond" w:hAnsi="Garamond"/>
          <w:i/>
          <w:iCs/>
          <w:noProof/>
          <w:sz w:val="17"/>
          <w:szCs w:val="17"/>
        </w:rPr>
        <w:t>Memoirs</w:t>
      </w:r>
      <w:r w:rsidRPr="00680558">
        <w:rPr>
          <w:rFonts w:ascii="Garamond" w:hAnsi="Garamond"/>
          <w:noProof/>
          <w:sz w:val="17"/>
          <w:szCs w:val="17"/>
        </w:rPr>
        <w:t xml:space="preserve"> ." Unpublished, Charles Crane Papers. Rare Books </w:t>
      </w:r>
    </w:p>
    <w:p w14:paraId="7780ECCC" w14:textId="6D01F87E" w:rsidR="001A07C5" w:rsidRPr="00680558" w:rsidRDefault="001A07C5" w:rsidP="00163340">
      <w:pPr>
        <w:pStyle w:val="Bibliography"/>
        <w:ind w:left="720" w:hanging="720"/>
        <w:rPr>
          <w:rFonts w:ascii="Garamond" w:hAnsi="Garamond"/>
          <w:noProof/>
          <w:sz w:val="17"/>
          <w:szCs w:val="17"/>
        </w:rPr>
      </w:pPr>
      <w:r w:rsidRPr="00680558">
        <w:rPr>
          <w:rFonts w:ascii="Garamond" w:hAnsi="Garamond"/>
          <w:noProof/>
          <w:sz w:val="17"/>
          <w:szCs w:val="17"/>
        </w:rPr>
        <w:t xml:space="preserve">and Manuscripts Library, Columbia University, New York, NY, 453. </w:t>
      </w:r>
    </w:p>
  </w:footnote>
  <w:footnote w:id="143">
    <w:p w14:paraId="4BD5E8B9" w14:textId="63B28F16"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“Letter from Charles Richard Crane to Woodrow Wilson,” July 10, 1919, Woodrow Wilson Archives, University of Virginia, Charlottesville, VA. </w:t>
      </w:r>
    </w:p>
  </w:footnote>
  <w:footnote w:id="144">
    <w:p w14:paraId="684DE310" w14:textId="00F2D7A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Albert Lybyer’s Diary, King – Crane Commission Digital Collection, August 21. </w:t>
      </w:r>
    </w:p>
  </w:footnote>
  <w:footnote w:id="145">
    <w:p w14:paraId="0F0CBF32" w14:textId="355D21C5"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cs="Times New Roman"/>
          <w:sz w:val="17"/>
          <w:szCs w:val="17"/>
        </w:rPr>
        <w:t xml:space="preserve">Crane was rumored to have given financial support to Aleksey Kaliden, a leader of the Russian Whites in 1918. Anton Deniken succeeded Kaliden after Kaliden’s suicide (Charles Crane and the Arabs). </w:t>
      </w:r>
    </w:p>
  </w:footnote>
  <w:footnote w:id="146">
    <w:p w14:paraId="770FA798" w14:textId="05702A09"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Albert Lybyer’s Diary, King – Crane Commission Digital Collection, August 23. </w:t>
      </w:r>
    </w:p>
  </w:footnote>
  <w:footnote w:id="147">
    <w:p w14:paraId="2E9D6888" w14:textId="6224B823"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Albert Lybyer’s Diary, King – Crane Commission Digital Collection, August 24. </w:t>
      </w:r>
    </w:p>
  </w:footnote>
  <w:footnote w:id="148">
    <w:p w14:paraId="67BFFC0D" w14:textId="20B0CB05" w:rsidR="001A07C5" w:rsidRPr="00680558" w:rsidRDefault="001A07C5" w:rsidP="0030323A">
      <w:pPr>
        <w:pStyle w:val="FootnoteText"/>
        <w:rPr>
          <w:rFonts w:ascii="Garamond" w:hAnsi="Garamond"/>
          <w:i/>
          <w:i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See above section titled </w:t>
      </w:r>
      <w:r w:rsidRPr="00680558">
        <w:rPr>
          <w:rFonts w:ascii="Garamond" w:hAnsi="Garamond"/>
          <w:i/>
          <w:iCs/>
          <w:sz w:val="17"/>
          <w:szCs w:val="17"/>
        </w:rPr>
        <w:t>Lybyer, King and “Oil”</w:t>
      </w:r>
    </w:p>
  </w:footnote>
  <w:footnote w:id="149">
    <w:p w14:paraId="5C2AEB4D" w14:textId="6BF06920" w:rsidR="001A07C5" w:rsidRPr="00680558" w:rsidRDefault="001A07C5">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Albert Lybyer’s Diary, King – Crane Commission Digital Collection, August 2</w:t>
      </w:r>
      <w:r w:rsidRPr="00C14918">
        <w:rPr>
          <w:rFonts w:ascii="Garamond" w:hAnsi="Garamond"/>
          <w:sz w:val="17"/>
          <w:szCs w:val="17"/>
        </w:rPr>
        <w:t>4</w:t>
      </w:r>
      <w:r w:rsidRPr="00680558">
        <w:rPr>
          <w:rFonts w:ascii="Garamond" w:hAnsi="Garamond"/>
          <w:sz w:val="17"/>
          <w:szCs w:val="17"/>
        </w:rPr>
        <w:t>.</w:t>
      </w:r>
    </w:p>
  </w:footnote>
  <w:footnote w:id="150">
    <w:p w14:paraId="2BF3F58F" w14:textId="036954E3" w:rsidR="001A07C5" w:rsidRPr="00C1491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Report titled “</w:t>
      </w:r>
      <w:r w:rsidRPr="00680558">
        <w:rPr>
          <w:rFonts w:ascii="Garamond" w:hAnsi="Garamond"/>
          <w:noProof/>
          <w:sz w:val="17"/>
          <w:szCs w:val="17"/>
        </w:rPr>
        <w:t xml:space="preserve">Report of the American Section of the International Commission on Mandates in Turkey,” August 28, 1919, Papers Relating to the Foreign Relations of the United States, The Paris Peace Conference, 1919, Volume XII, Field Missions of the American Commission to Negotiate Peace, Document 380, Paris Peace Conf. 181.9102/9, 802.  </w:t>
      </w:r>
    </w:p>
  </w:footnote>
  <w:footnote w:id="151">
    <w:p w14:paraId="4B3565F9" w14:textId="72C591E8" w:rsidR="001A07C5" w:rsidRPr="00680558" w:rsidRDefault="001A07C5" w:rsidP="0030323A">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Terry, </w:t>
      </w:r>
      <w:r w:rsidRPr="00680558">
        <w:rPr>
          <w:rFonts w:ascii="Garamond" w:hAnsi="Garamond"/>
          <w:i/>
          <w:iCs/>
          <w:sz w:val="17"/>
          <w:szCs w:val="17"/>
        </w:rPr>
        <w:t>William Yale</w:t>
      </w:r>
      <w:r w:rsidRPr="00680558">
        <w:rPr>
          <w:rFonts w:ascii="Garamond" w:hAnsi="Garamond"/>
          <w:sz w:val="17"/>
          <w:szCs w:val="17"/>
        </w:rPr>
        <w:t>, 151.</w:t>
      </w:r>
    </w:p>
  </w:footnote>
  <w:footnote w:id="152">
    <w:p w14:paraId="5A95E6D5" w14:textId="0E989FE9"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Terry, </w:t>
      </w:r>
      <w:r w:rsidRPr="00680558">
        <w:rPr>
          <w:rFonts w:ascii="Garamond" w:hAnsi="Garamond"/>
          <w:i/>
          <w:iCs/>
          <w:sz w:val="17"/>
          <w:szCs w:val="17"/>
        </w:rPr>
        <w:t xml:space="preserve">William Yale, </w:t>
      </w:r>
      <w:r w:rsidRPr="00680558">
        <w:rPr>
          <w:rFonts w:ascii="Garamond" w:hAnsi="Garamond"/>
          <w:sz w:val="17"/>
          <w:szCs w:val="17"/>
        </w:rPr>
        <w:t xml:space="preserve">152. </w:t>
      </w:r>
    </w:p>
  </w:footnote>
  <w:footnote w:id="153">
    <w:p w14:paraId="43C5705D" w14:textId="43CDABBC"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Report by William Yale entitled "Arab Empire Proapganda," July 1918, Box 2, Folder 36, William Yale Papers, Yale University, New Haven, CT, 5.  </w:t>
      </w:r>
      <w:r w:rsidRPr="00680558">
        <w:rPr>
          <w:rFonts w:ascii="Garamond" w:hAnsi="Garamond"/>
          <w:sz w:val="17"/>
          <w:szCs w:val="17"/>
        </w:rPr>
        <w:t xml:space="preserve"> Yale negotiated Standard Oil’s concessions himself while he was the representative in Palestine pre-World War I.</w:t>
      </w:r>
    </w:p>
  </w:footnote>
  <w:footnote w:id="154">
    <w:p w14:paraId="08748AB6" w14:textId="1B48BBCD"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Terry, </w:t>
      </w:r>
      <w:r w:rsidRPr="00680558">
        <w:rPr>
          <w:rFonts w:ascii="Garamond" w:hAnsi="Garamond"/>
          <w:i/>
          <w:iCs/>
          <w:sz w:val="17"/>
          <w:szCs w:val="17"/>
        </w:rPr>
        <w:t>William Yale</w:t>
      </w:r>
      <w:r w:rsidRPr="00680558">
        <w:rPr>
          <w:rFonts w:ascii="Garamond" w:hAnsi="Garamond"/>
          <w:sz w:val="17"/>
          <w:szCs w:val="17"/>
        </w:rPr>
        <w:t xml:space="preserve">, 151. </w:t>
      </w:r>
      <w:r w:rsidRPr="00680558">
        <w:rPr>
          <w:rFonts w:ascii="Garamond" w:hAnsi="Garamond"/>
          <w:color w:val="000000" w:themeColor="text1"/>
          <w:sz w:val="17"/>
          <w:szCs w:val="17"/>
        </w:rPr>
        <w:t>The Syrian Yale referenced is Ismail Bey, an affluent Palestinian who held oil contracts from the Ottoman Government, and who the British later tried to intimidate</w:t>
      </w:r>
    </w:p>
  </w:footnote>
  <w:footnote w:id="155">
    <w:p w14:paraId="79FA234F" w14:textId="49309A3E"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Harrison became Secretary of State in the Harding Administration. When Harrison was Secretary of State, he exchanged correspondence with Thomas.  </w:t>
      </w:r>
    </w:p>
  </w:footnote>
  <w:footnote w:id="156">
    <w:p w14:paraId="0C297A93" w14:textId="4B71970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Terry, </w:t>
      </w:r>
      <w:r w:rsidRPr="00680558">
        <w:rPr>
          <w:rFonts w:ascii="Garamond" w:hAnsi="Garamond"/>
          <w:i/>
          <w:iCs/>
          <w:sz w:val="17"/>
          <w:szCs w:val="17"/>
        </w:rPr>
        <w:t xml:space="preserve">William Yale, </w:t>
      </w:r>
      <w:r w:rsidRPr="00680558">
        <w:rPr>
          <w:rFonts w:ascii="Garamond" w:hAnsi="Garamond"/>
          <w:sz w:val="17"/>
          <w:szCs w:val="17"/>
        </w:rPr>
        <w:t xml:space="preserve">173. </w:t>
      </w:r>
    </w:p>
  </w:footnote>
  <w:footnote w:id="157">
    <w:p w14:paraId="2E500A08" w14:textId="10B3CAFA" w:rsidR="001A07C5" w:rsidRPr="00C14918" w:rsidRDefault="001A07C5" w:rsidP="00846AB9">
      <w:pPr>
        <w:pStyle w:val="Bibliography"/>
        <w:ind w:left="720" w:hanging="720"/>
        <w:rPr>
          <w:rFonts w:ascii="Garamond" w:hAnsi="Garamond"/>
          <w:noProof/>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Thomas Bryson, "Admiral Mark L. Bristol, an Open-Door Diplomat in Turkey," </w:t>
      </w:r>
      <w:r w:rsidRPr="00680558">
        <w:rPr>
          <w:rFonts w:ascii="Garamond" w:hAnsi="Garamond"/>
          <w:i/>
          <w:iCs/>
          <w:noProof/>
          <w:sz w:val="17"/>
          <w:szCs w:val="17"/>
        </w:rPr>
        <w:t>International Journal of Middle East Studies</w:t>
      </w:r>
      <w:r w:rsidRPr="00680558">
        <w:rPr>
          <w:rFonts w:ascii="Garamond" w:hAnsi="Garamond"/>
          <w:noProof/>
          <w:sz w:val="17"/>
          <w:szCs w:val="17"/>
        </w:rPr>
        <w:t xml:space="preserve"> 5, no. 4 (1974):</w:t>
      </w:r>
      <w:r w:rsidRPr="00680558">
        <w:rPr>
          <w:rFonts w:ascii="Garamond" w:hAnsi="Garamond"/>
          <w:i/>
          <w:iCs/>
          <w:noProof/>
          <w:sz w:val="17"/>
          <w:szCs w:val="17"/>
        </w:rPr>
        <w:t xml:space="preserve"> </w:t>
      </w:r>
      <w:r w:rsidRPr="00680558">
        <w:rPr>
          <w:rFonts w:ascii="Garamond" w:hAnsi="Garamond"/>
          <w:noProof/>
          <w:sz w:val="17"/>
          <w:szCs w:val="17"/>
        </w:rPr>
        <w:t>451.</w:t>
      </w:r>
    </w:p>
  </w:footnote>
  <w:footnote w:id="158">
    <w:p w14:paraId="4F9DAA53" w14:textId="27E3A11C"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Albert Lybyer’s Personal Diary, Rare Book and Manuscript Library, June 4 </w:t>
      </w:r>
    </w:p>
  </w:footnote>
  <w:footnote w:id="159">
    <w:p w14:paraId="6E9C0EB0" w14:textId="2FA367E1" w:rsidR="001A07C5" w:rsidRPr="00680558" w:rsidRDefault="001A07C5" w:rsidP="00680558">
      <w:pPr>
        <w:rPr>
          <w:rFonts w:ascii="Garamond" w:hAnsi="Garamond"/>
          <w:noProof/>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Letter from Mark R. Bristol to Charles R. Crane </w:t>
      </w:r>
      <w:r w:rsidRPr="00680558">
        <w:rPr>
          <w:rFonts w:ascii="Garamond" w:hAnsi="Garamond"/>
          <w:noProof/>
          <w:sz w:val="17"/>
          <w:szCs w:val="17"/>
        </w:rPr>
        <w:t xml:space="preserve">King-Crane Commission Digital Archive, Oberlin College, Ohio, January 1921. </w:t>
      </w:r>
    </w:p>
  </w:footnote>
  <w:footnote w:id="160">
    <w:p w14:paraId="73EC5C49" w14:textId="748A01A3"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Bryson, “Admiral Mark L. Bristol,” 464. </w:t>
      </w:r>
    </w:p>
  </w:footnote>
  <w:footnote w:id="161">
    <w:p w14:paraId="6AF9D033" w14:textId="56BA0238"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It must be noted that, in this sense, Mahan was probably referring to the Open Door policy in China. However, the Open Door policy in this regard – for natural resources – permits us to still use this analogy. Braisted, </w:t>
      </w:r>
      <w:r w:rsidRPr="00680558">
        <w:rPr>
          <w:rFonts w:ascii="Garamond" w:hAnsi="Garamond"/>
          <w:i/>
          <w:iCs/>
          <w:sz w:val="17"/>
          <w:szCs w:val="17"/>
        </w:rPr>
        <w:t xml:space="preserve">The U.S. Navy, </w:t>
      </w:r>
    </w:p>
  </w:footnote>
  <w:footnote w:id="162">
    <w:p w14:paraId="4D9D6184" w14:textId="46328317"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63">
    <w:p w14:paraId="29B2EEAE" w14:textId="1ADBD1BD"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p>
  </w:footnote>
  <w:footnote w:id="164">
    <w:p w14:paraId="13631E42" w14:textId="616D789B"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65">
    <w:p w14:paraId="507B4800" w14:textId="22890414"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Bryson, “Admiral Mark. L. Bristol,” 463</w:t>
      </w:r>
    </w:p>
  </w:footnote>
  <w:footnote w:id="166">
    <w:p w14:paraId="24860A15" w14:textId="57B7559F" w:rsidR="001A07C5" w:rsidRPr="00680558" w:rsidRDefault="001A07C5" w:rsidP="006A5259">
      <w:pPr>
        <w:pStyle w:val="Bibliography"/>
        <w:ind w:left="720" w:hanging="720"/>
        <w:rPr>
          <w:rFonts w:ascii="Garamond" w:hAnsi="Garamond"/>
          <w:noProof/>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Correspondece between "The Vice President of the Standard Oil Company of New York (L. I. Thomas) to the Secretary of State,." January 1921. Greece, Volume II, Papers Relating to the Foreign Relations of the United States, Document 138,  467.11 Vacuum Oil Co./120 </w:t>
      </w:r>
      <w:hyperlink r:id="rId4" w:history="1">
        <w:r w:rsidRPr="00680558">
          <w:rPr>
            <w:rStyle w:val="Hyperlink"/>
            <w:rFonts w:ascii="Garamond" w:hAnsi="Garamond"/>
            <w:noProof/>
            <w:sz w:val="17"/>
            <w:szCs w:val="17"/>
          </w:rPr>
          <w:t>https://history.state.gov/historicaldocuments/frus1921v02/d138</w:t>
        </w:r>
      </w:hyperlink>
      <w:r w:rsidRPr="00680558">
        <w:rPr>
          <w:rFonts w:ascii="Garamond" w:hAnsi="Garamond"/>
          <w:noProof/>
          <w:sz w:val="17"/>
          <w:szCs w:val="17"/>
        </w:rPr>
        <w:t>.</w:t>
      </w:r>
    </w:p>
  </w:footnote>
  <w:footnote w:id="167">
    <w:p w14:paraId="5A00AED7" w14:textId="3AF00FFD" w:rsidR="001A07C5" w:rsidRPr="00680558" w:rsidRDefault="001A07C5">
      <w:pPr>
        <w:pStyle w:val="FootnoteText"/>
        <w:rPr>
          <w:rFonts w:ascii="Garamond" w:hAnsi="Garamond"/>
          <w:b/>
          <w:b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Bryson, “Admiral Mark L. Bristol,” 458.</w:t>
      </w:r>
    </w:p>
  </w:footnote>
  <w:footnote w:id="168">
    <w:p w14:paraId="453D988D" w14:textId="40CBD1FB"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Albert Lybyer’s Personal Diary, Rare Book and Manuscript Library, June 5. </w:t>
      </w:r>
    </w:p>
  </w:footnote>
  <w:footnote w:id="169">
    <w:p w14:paraId="413AB31B" w14:textId="7D6E4635"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p>
  </w:footnote>
  <w:footnote w:id="170">
    <w:p w14:paraId="03F5DAD2" w14:textId="45C8640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Correspondence between "The Standard Oil Co. of New York to the Acting Secretary of State," March 15, 1919. Oil concessions in Palestine and Mesopotamia, Volume II, 1919, Papers Relating to Foreign Relations of the United States, Document 198,  467.11St25/32 </w:t>
      </w:r>
    </w:p>
  </w:footnote>
  <w:footnote w:id="171">
    <w:p w14:paraId="09D84CC2" w14:textId="7777777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172">
    <w:p w14:paraId="4A05773B" w14:textId="3755555A"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Correspondence between "The Standard Oil Co. of New York to the Acting Secretary of State," March 15, 1919. Oil concessions in Palestine and Mesopotamia, Volume II, 1919, </w:t>
      </w:r>
      <w:r w:rsidRPr="00680558">
        <w:rPr>
          <w:rFonts w:ascii="Garamond" w:hAnsi="Garamond"/>
          <w:i/>
          <w:iCs/>
          <w:noProof/>
          <w:sz w:val="17"/>
          <w:szCs w:val="17"/>
        </w:rPr>
        <w:t>FRUS</w:t>
      </w:r>
      <w:r w:rsidRPr="00680558">
        <w:rPr>
          <w:rFonts w:ascii="Garamond" w:hAnsi="Garamond"/>
          <w:noProof/>
          <w:sz w:val="17"/>
          <w:szCs w:val="17"/>
        </w:rPr>
        <w:t xml:space="preserve">, Document 198,  467.11St25/32 </w:t>
      </w:r>
    </w:p>
  </w:footnote>
  <w:footnote w:id="173">
    <w:p w14:paraId="4EBBFA95" w14:textId="399ECFC9"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Phillips, William. Correspondence between "The Acting Secretary of State to the Ambassador in Great Britain (Davis)," March 18, 1919. Oil concession in Palestine and Mesopotamia, Volume II, Papers Relating to Foreign Relations of the United States, Document 199, 467.11St25/32. </w:t>
      </w:r>
    </w:p>
  </w:footnote>
  <w:footnote w:id="174">
    <w:p w14:paraId="1C891267" w14:textId="625880B6"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Correspondence between "The Acting Secretary of State to the Commission to Negotiate Peace." May 21, 191. Oil concessions in Palestine and Mesopotamia, Volume II, Papers Relating to Foreign Relations of the United States, Document 200. </w:t>
      </w:r>
      <w:hyperlink r:id="rId5" w:history="1">
        <w:r w:rsidRPr="00680558">
          <w:rPr>
            <w:rStyle w:val="Hyperlink"/>
            <w:rFonts w:ascii="Garamond" w:hAnsi="Garamond"/>
            <w:noProof/>
            <w:sz w:val="17"/>
            <w:szCs w:val="17"/>
          </w:rPr>
          <w:t>https://history.state.gov/historicaldocuments/frus1919v02/pg_252</w:t>
        </w:r>
      </w:hyperlink>
      <w:r w:rsidRPr="00680558">
        <w:rPr>
          <w:rFonts w:ascii="Garamond" w:hAnsi="Garamond"/>
          <w:noProof/>
          <w:sz w:val="17"/>
          <w:szCs w:val="17"/>
        </w:rPr>
        <w:t xml:space="preserve"> (hereafter cited as “The Acting Secretary of State to the Ambassador in Great Britain”)</w:t>
      </w:r>
    </w:p>
  </w:footnote>
  <w:footnote w:id="175">
    <w:p w14:paraId="5193BEF3" w14:textId="4922A390"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DeNovo, “The Movement for an Aggressive Oil Policy” </w:t>
      </w:r>
    </w:p>
  </w:footnote>
  <w:footnote w:id="176">
    <w:p w14:paraId="2C115FB2" w14:textId="1C96308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“The Acting Secretary of State to the Ambassador in Great Britain,” Papers Relating to the Foreign Relations of the United States. Document 200</w:t>
      </w:r>
    </w:p>
  </w:footnote>
  <w:footnote w:id="177">
    <w:p w14:paraId="31910D53" w14:textId="60500DD4"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“The Acting Secretary of State to the Ambassador in Great Britain,” Papers Relating to the Foreign Relations of the United States.</w:t>
      </w:r>
    </w:p>
  </w:footnote>
  <w:footnote w:id="178">
    <w:p w14:paraId="24B904F1" w14:textId="0DBFF763"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"The Commission to Negotiate Peace to the Acting Secretary of State." June 5, 1919. Oil concessions in Palestine and Mesopotamia, Volume II, Papers Relating to Foreign Relations of the United Stats 1919, Document 201, 867.6363/6 </w:t>
      </w:r>
      <w:hyperlink r:id="rId6" w:history="1">
        <w:r w:rsidRPr="00680558">
          <w:rPr>
            <w:rStyle w:val="Hyperlink"/>
            <w:rFonts w:ascii="Garamond" w:hAnsi="Garamond"/>
            <w:noProof/>
            <w:sz w:val="17"/>
            <w:szCs w:val="17"/>
          </w:rPr>
          <w:t>https://history.state.gov/historicaldocuments/frus1919v02/pg_253</w:t>
        </w:r>
      </w:hyperlink>
      <w:r w:rsidRPr="00680558">
        <w:rPr>
          <w:rFonts w:ascii="Garamond" w:hAnsi="Garamond"/>
          <w:noProof/>
          <w:sz w:val="17"/>
          <w:szCs w:val="17"/>
        </w:rPr>
        <w:t xml:space="preserve"> .</w:t>
      </w:r>
    </w:p>
  </w:footnote>
  <w:footnote w:id="179">
    <w:p w14:paraId="68FF5895" w14:textId="50E453F3" w:rsidR="001A07C5" w:rsidRPr="00680558" w:rsidRDefault="001A07C5" w:rsidP="00680558">
      <w:pPr>
        <w:rPr>
          <w:rFonts w:ascii="Garamond" w:hAnsi="Garamond"/>
          <w:sz w:val="17"/>
          <w:szCs w:val="17"/>
        </w:rPr>
      </w:pPr>
      <w:r w:rsidRPr="00680558">
        <w:rPr>
          <w:sz w:val="17"/>
          <w:szCs w:val="17"/>
        </w:rPr>
        <w:footnoteRef/>
      </w:r>
      <w:r w:rsidRPr="00680558">
        <w:rPr>
          <w:rFonts w:ascii="Garamond" w:hAnsi="Garamond"/>
          <w:sz w:val="17"/>
          <w:szCs w:val="17"/>
        </w:rPr>
        <w:t xml:space="preserve"> Correspondence between "The British Ambassador on Special Mission (Reading) to the Assistant Secretary of State (Phillips),”1918. Cooperation of the United States with the Allied Powers in the Distribution of Oil and Oil-Well Equipment, Supplement 1, The World War, Volume I, Papers Relating to the Foreign Relations of the United States, Document 550, 800.6363, https://history.state.gov/historicaldocuments/frus1918Supp01v01/d538</w:t>
      </w:r>
    </w:p>
  </w:footnote>
  <w:footnote w:id="180">
    <w:p w14:paraId="26F62D76" w14:textId="62757A2D" w:rsidR="001A07C5" w:rsidRPr="00C14918" w:rsidRDefault="001A07C5" w:rsidP="00680558">
      <w:pPr>
        <w:rPr>
          <w:rFonts w:ascii="Garamond" w:hAnsi="Garamond"/>
          <w:sz w:val="17"/>
          <w:szCs w:val="17"/>
        </w:rPr>
      </w:pPr>
      <w:r w:rsidRPr="00680558">
        <w:rPr>
          <w:sz w:val="17"/>
          <w:szCs w:val="17"/>
        </w:rPr>
        <w:footnoteRef/>
      </w:r>
      <w:r w:rsidRPr="00680558">
        <w:rPr>
          <w:rFonts w:ascii="Garamond" w:hAnsi="Garamond"/>
          <w:sz w:val="17"/>
          <w:szCs w:val="17"/>
        </w:rPr>
        <w:t xml:space="preserve"> Correspondence between "The Ambassador in Great Britain ( Page) to the Secretary of State." September 1918. Cooperation of the United States with the Allied Powers in the Distribution of Oil and Oil-Well Equipment, Supplement I, The World War, Volume I, Papers Relating to the Foreign Relations of the Unite States, Document 543. 600.119/1420, </w:t>
      </w:r>
    </w:p>
  </w:footnote>
  <w:footnote w:id="181">
    <w:p w14:paraId="6DD6ADAE" w14:textId="3389EEEB"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DeNovo, “The Movement for an Aggressive American Oil Policy,” 863</w:t>
      </w:r>
    </w:p>
  </w:footnote>
  <w:footnote w:id="182">
    <w:p w14:paraId="3D0281AE" w14:textId="3B82B657"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864</w:t>
      </w:r>
    </w:p>
  </w:footnote>
  <w:footnote w:id="183">
    <w:p w14:paraId="4D3ADFD5" w14:textId="4FDCF593" w:rsidR="001A07C5" w:rsidRPr="00C14918" w:rsidRDefault="001A07C5" w:rsidP="00680558">
      <w:pPr>
        <w:pStyle w:val="Bibliography"/>
        <w:ind w:left="720" w:hanging="720"/>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Correspondence between"The Acting Secretary of State to the Commission to Negotiate Peace," September 18, 1919, Oil Concessions in Palestine and Mesopotamia, Volume II, Papers Relating to Foreign Relations of the United States 1919, Document 204, 467.11St25/36a: Telegram,</w:t>
      </w:r>
      <w:hyperlink r:id="rId7" w:history="1">
        <w:r w:rsidRPr="00680558">
          <w:rPr>
            <w:rStyle w:val="Hyperlink"/>
            <w:rFonts w:ascii="Garamond" w:hAnsi="Garamond"/>
            <w:noProof/>
            <w:sz w:val="17"/>
            <w:szCs w:val="17"/>
          </w:rPr>
          <w:t>https://history.state.gov/historicaldocuments/frus1919v02/d204</w:t>
        </w:r>
      </w:hyperlink>
      <w:r w:rsidRPr="00680558">
        <w:rPr>
          <w:rFonts w:ascii="Garamond" w:hAnsi="Garamond"/>
          <w:noProof/>
          <w:sz w:val="17"/>
          <w:szCs w:val="17"/>
        </w:rPr>
        <w:t xml:space="preserve"> (hereafter cited as “The Acting Secretary of State to the Commission to Negotiate Peace September 1918.”)</w:t>
      </w:r>
    </w:p>
  </w:footnote>
  <w:footnote w:id="184">
    <w:p w14:paraId="66A9D1A8" w14:textId="1DE6A15C"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Correspondence between “</w:t>
      </w:r>
      <w:r w:rsidRPr="00680558">
        <w:rPr>
          <w:rFonts w:ascii="Garamond" w:hAnsi="Garamond"/>
          <w:noProof/>
          <w:sz w:val="17"/>
          <w:szCs w:val="17"/>
        </w:rPr>
        <w:t xml:space="preserve">The Acting Secretary of State to the Commission to Negotiate Peace,” Papers Relating to the Foreign Relations of the United States. </w:t>
      </w:r>
    </w:p>
  </w:footnote>
  <w:footnote w:id="185">
    <w:p w14:paraId="2DF68078" w14:textId="1CF72F5E" w:rsidR="008D15D2" w:rsidRPr="008D15D2" w:rsidRDefault="008D15D2">
      <w:pPr>
        <w:pStyle w:val="FootnoteText"/>
        <w:rPr>
          <w:rFonts w:ascii="Garamond" w:hAnsi="Garamond"/>
        </w:rPr>
      </w:pPr>
      <w:r w:rsidRPr="008D15D2">
        <w:rPr>
          <w:rStyle w:val="FootnoteReference"/>
          <w:rFonts w:ascii="Garamond" w:hAnsi="Garamond"/>
          <w:sz w:val="16"/>
          <w:szCs w:val="16"/>
        </w:rPr>
        <w:footnoteRef/>
      </w:r>
      <w:r w:rsidRPr="008D15D2">
        <w:rPr>
          <w:rFonts w:ascii="Garamond" w:hAnsi="Garamond"/>
          <w:sz w:val="16"/>
          <w:szCs w:val="16"/>
        </w:rPr>
        <w:t xml:space="preserve"> Buckler was a representative on the American Commission to Negotiate Peace </w:t>
      </w:r>
    </w:p>
  </w:footnote>
  <w:footnote w:id="186">
    <w:p w14:paraId="1BDD0DB9" w14:textId="346425E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Terry, </w:t>
      </w:r>
      <w:r w:rsidRPr="00680558">
        <w:rPr>
          <w:rFonts w:ascii="Garamond" w:hAnsi="Garamond"/>
          <w:i/>
          <w:iCs/>
          <w:sz w:val="17"/>
          <w:szCs w:val="17"/>
        </w:rPr>
        <w:t xml:space="preserve">William Yale, </w:t>
      </w:r>
      <w:r w:rsidRPr="00680558">
        <w:rPr>
          <w:rFonts w:ascii="Garamond" w:hAnsi="Garamond"/>
          <w:sz w:val="17"/>
          <w:szCs w:val="17"/>
        </w:rPr>
        <w:t xml:space="preserve">153 </w:t>
      </w:r>
    </w:p>
  </w:footnote>
  <w:footnote w:id="187">
    <w:p w14:paraId="0A643712" w14:textId="7C98F054"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This letter notified the American Commission to Negotiate Peace of the British’s confiscation of Standard Oil concession permits in Palestine. The March 18 letter started all of this correspondence. </w:t>
      </w:r>
      <w:sdt>
        <w:sdtPr>
          <w:rPr>
            <w:rFonts w:ascii="Garamond" w:hAnsi="Garamond"/>
            <w:sz w:val="17"/>
            <w:szCs w:val="17"/>
          </w:rPr>
          <w:id w:val="-173037061"/>
          <w:citation/>
        </w:sdtPr>
        <w:sdtEndPr/>
        <w:sdtContent>
          <w:r w:rsidRPr="00680558">
            <w:rPr>
              <w:rFonts w:ascii="Garamond" w:hAnsi="Garamond"/>
              <w:sz w:val="17"/>
              <w:szCs w:val="17"/>
            </w:rPr>
            <w:fldChar w:fldCharType="begin"/>
          </w:r>
          <w:r w:rsidRPr="00680558">
            <w:rPr>
              <w:rFonts w:ascii="Garamond" w:hAnsi="Garamond"/>
              <w:sz w:val="17"/>
              <w:szCs w:val="17"/>
            </w:rPr>
            <w:instrText xml:space="preserve">CITATION The \p "March 18" \l 1033 </w:instrText>
          </w:r>
          <w:r w:rsidRPr="00680558">
            <w:rPr>
              <w:rFonts w:ascii="Garamond" w:hAnsi="Garamond"/>
              <w:sz w:val="17"/>
              <w:szCs w:val="17"/>
            </w:rPr>
            <w:fldChar w:fldCharType="separate"/>
          </w:r>
          <w:r w:rsidRPr="00680558">
            <w:rPr>
              <w:rFonts w:ascii="Garamond" w:hAnsi="Garamond"/>
              <w:noProof/>
              <w:sz w:val="17"/>
              <w:szCs w:val="17"/>
            </w:rPr>
            <w:t>(The Acting Secretary of State to the Ambassador in Great Britain (Davis) 1919, March 18)</w:t>
          </w:r>
          <w:r w:rsidRPr="00680558">
            <w:rPr>
              <w:rFonts w:ascii="Garamond" w:hAnsi="Garamond"/>
              <w:sz w:val="17"/>
              <w:szCs w:val="17"/>
            </w:rPr>
            <w:fldChar w:fldCharType="end"/>
          </w:r>
        </w:sdtContent>
      </w:sdt>
    </w:p>
  </w:footnote>
  <w:footnote w:id="188">
    <w:p w14:paraId="41A15E3E" w14:textId="6D67BFF8"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Report titled "Report by Yale to American Peace Commission (on interviews conducted in London, September 27, 1919 to October 14, 1919),” 1919, Box 3, Folder 7, William Yale Papers, University of New Hampshire, Durham, NH.</w:t>
      </w:r>
    </w:p>
  </w:footnote>
  <w:footnote w:id="189">
    <w:p w14:paraId="66A94CE8" w14:textId="68D1B81D"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r w:rsidRPr="00C14918">
        <w:rPr>
          <w:rFonts w:ascii="Garamond" w:hAnsi="Garamond"/>
          <w:sz w:val="17"/>
          <w:szCs w:val="17"/>
        </w:rPr>
        <w:t xml:space="preserve"> </w:t>
      </w:r>
    </w:p>
  </w:footnote>
  <w:footnote w:id="190">
    <w:p w14:paraId="07F85F10" w14:textId="08D8F75D"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In the September 18</w:t>
      </w:r>
      <w:r w:rsidRPr="00680558">
        <w:rPr>
          <w:rFonts w:ascii="Garamond" w:hAnsi="Garamond"/>
          <w:sz w:val="17"/>
          <w:szCs w:val="17"/>
          <w:vertAlign w:val="superscript"/>
        </w:rPr>
        <w:t>th</w:t>
      </w:r>
      <w:r w:rsidRPr="00680558">
        <w:rPr>
          <w:rFonts w:ascii="Garamond" w:hAnsi="Garamond"/>
          <w:sz w:val="17"/>
          <w:szCs w:val="17"/>
        </w:rPr>
        <w:t xml:space="preserve"> note, Phillips tells Polk to meet with Thomas in Paris. </w:t>
      </w:r>
    </w:p>
  </w:footnote>
  <w:footnote w:id="191">
    <w:p w14:paraId="5E63A92D" w14:textId="28E16B5F"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"The Commission to Negotiate Peace to the Secretary of State," September 29. Oil concessions in Palestine and Mesopotamia, Volume II, Papers Relating to Foreign Relations of the United States, Document 205, 467.11St25/37.</w:t>
      </w:r>
    </w:p>
  </w:footnote>
  <w:footnote w:id="192">
    <w:p w14:paraId="305DFE50" w14:textId="01B2367B"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Report by Yale to American Peace Commission (on interviews conducted in London, William Yale Papers, </w:t>
      </w:r>
      <w:r>
        <w:rPr>
          <w:rFonts w:ascii="Garamond" w:hAnsi="Garamond"/>
          <w:noProof/>
          <w:sz w:val="17"/>
          <w:szCs w:val="17"/>
        </w:rPr>
        <w:t>UNH,</w:t>
      </w:r>
      <w:r w:rsidRPr="00680558">
        <w:rPr>
          <w:rFonts w:ascii="Garamond" w:hAnsi="Garamond"/>
          <w:noProof/>
          <w:sz w:val="17"/>
          <w:szCs w:val="17"/>
        </w:rPr>
        <w:t xml:space="preserve"> 7.</w:t>
      </w:r>
      <w:r w:rsidRPr="00C14918">
        <w:rPr>
          <w:rFonts w:ascii="Garamond" w:hAnsi="Garamond"/>
          <w:noProof/>
          <w:sz w:val="17"/>
          <w:szCs w:val="17"/>
        </w:rPr>
        <w:t xml:space="preserve"> </w:t>
      </w:r>
    </w:p>
  </w:footnote>
  <w:footnote w:id="193">
    <w:p w14:paraId="007CFBED" w14:textId="3D7A0543"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Terry, </w:t>
      </w:r>
      <w:r w:rsidRPr="00680558">
        <w:rPr>
          <w:rFonts w:ascii="Garamond" w:hAnsi="Garamond"/>
          <w:i/>
          <w:iCs/>
          <w:sz w:val="17"/>
          <w:szCs w:val="17"/>
        </w:rPr>
        <w:t xml:space="preserve">William Yale, </w:t>
      </w:r>
      <w:r w:rsidRPr="00680558">
        <w:rPr>
          <w:rFonts w:ascii="Garamond" w:hAnsi="Garamond"/>
          <w:sz w:val="17"/>
          <w:szCs w:val="17"/>
        </w:rPr>
        <w:t xml:space="preserve">156. </w:t>
      </w:r>
    </w:p>
  </w:footnote>
  <w:footnote w:id="194">
    <w:p w14:paraId="537CE7B4" w14:textId="2CE0B825" w:rsidR="001A07C5" w:rsidRPr="00680558" w:rsidRDefault="001A07C5">
      <w:pPr>
        <w:pStyle w:val="FootnoteText"/>
        <w:rPr>
          <w:rFonts w:ascii="Garamond" w:hAnsi="Garamond"/>
          <w:b/>
          <w:bCs/>
          <w:i/>
          <w:i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Ibid, 173; Yale refers to his policy recommendations colloquially as the Yale Plan. Some others, such as Buckler, may have also thought of Yale’s report in this terminology, but there exists no evidence that a preponderance of policymakers thogught of Yale’s recommendations as the Yale Plan. </w:t>
      </w:r>
    </w:p>
  </w:footnote>
  <w:footnote w:id="195">
    <w:p w14:paraId="55D96094" w14:textId="42CA0A19"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Report by Yale to American Peace Commission (on interviews conducted in London</w:t>
      </w:r>
      <w:r>
        <w:rPr>
          <w:rFonts w:ascii="Garamond" w:hAnsi="Garamond"/>
          <w:noProof/>
          <w:sz w:val="17"/>
          <w:szCs w:val="17"/>
        </w:rPr>
        <w:t>)</w:t>
      </w:r>
      <w:r w:rsidRPr="00680558">
        <w:rPr>
          <w:rFonts w:ascii="Garamond" w:hAnsi="Garamond"/>
          <w:noProof/>
          <w:sz w:val="17"/>
          <w:szCs w:val="17"/>
        </w:rPr>
        <w:t xml:space="preserve"> William Yale Papers, </w:t>
      </w:r>
      <w:r>
        <w:rPr>
          <w:rFonts w:ascii="Garamond" w:hAnsi="Garamond"/>
          <w:noProof/>
          <w:sz w:val="17"/>
          <w:szCs w:val="17"/>
        </w:rPr>
        <w:t>UNH,</w:t>
      </w:r>
      <w:r w:rsidRPr="00680558">
        <w:rPr>
          <w:rFonts w:ascii="Garamond" w:hAnsi="Garamond"/>
          <w:noProof/>
          <w:sz w:val="17"/>
          <w:szCs w:val="17"/>
        </w:rPr>
        <w:t xml:space="preserve"> 8. </w:t>
      </w:r>
    </w:p>
  </w:footnote>
  <w:footnote w:id="196">
    <w:p w14:paraId="0F5AF16D" w14:textId="15DC2EB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Stivers, “International Politics and Iraqi Oil,” 520. </w:t>
      </w:r>
    </w:p>
  </w:footnote>
  <w:footnote w:id="197">
    <w:p w14:paraId="3DAC577E" w14:textId="121E04B6" w:rsidR="001A07C5" w:rsidRPr="00C1491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color w:val="000000" w:themeColor="text1"/>
          <w:sz w:val="17"/>
          <w:szCs w:val="17"/>
        </w:rPr>
        <w:t>A more detailed analysis of these plans will be made in a later section.</w:t>
      </w:r>
    </w:p>
  </w:footnote>
  <w:footnote w:id="198">
    <w:p w14:paraId="2EEC9181" w14:textId="33FF74F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MacMillan, </w:t>
      </w:r>
      <w:r w:rsidRPr="00680558">
        <w:rPr>
          <w:rFonts w:ascii="Garamond" w:hAnsi="Garamond"/>
          <w:i/>
          <w:iCs/>
          <w:sz w:val="17"/>
          <w:szCs w:val="17"/>
        </w:rPr>
        <w:t>Peacemakers</w:t>
      </w:r>
      <w:r w:rsidRPr="00680558">
        <w:rPr>
          <w:rFonts w:ascii="Garamond" w:hAnsi="Garamond"/>
          <w:sz w:val="17"/>
          <w:szCs w:val="17"/>
        </w:rPr>
        <w:t xml:space="preserve">, check. </w:t>
      </w:r>
    </w:p>
  </w:footnote>
  <w:footnote w:id="199">
    <w:p w14:paraId="4496D077" w14:textId="34E8B305"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noProof/>
          <w:sz w:val="17"/>
          <w:szCs w:val="17"/>
        </w:rPr>
        <w:t xml:space="preserve"> Report by Yale to American Peace Commission (on interviews conducted in London, William Yale Papers, University of New Hampshire, 10. After first citation of a collection and an archive, you can abbreviate both in subsequent notes.  So, Yale Papers, UNH.</w:t>
      </w:r>
    </w:p>
  </w:footnote>
  <w:footnote w:id="200">
    <w:p w14:paraId="68C82D76" w14:textId="332AACE8"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201">
    <w:p w14:paraId="6284E59A" w14:textId="7777777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McMahon is the author of the “McMahon correspondence in which the British promised Arab Independence to King Hussein”</w:t>
      </w:r>
    </w:p>
  </w:footnote>
  <w:footnote w:id="202">
    <w:p w14:paraId="1F6927B4" w14:textId="383581E1"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Report by Yale to American Peace Commission (on interviews conducted in London, William Yale Papers, University of New Hampshire, 11 – 12. </w:t>
      </w:r>
    </w:p>
  </w:footnote>
  <w:footnote w:id="203">
    <w:p w14:paraId="2024E74E" w14:textId="2372A458"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204">
    <w:p w14:paraId="42CA56AE" w14:textId="227DC250"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Report by Yale to American Peace Commission (on interviews conducted in London, William Yale Papers, University of New Hampshire</w:t>
      </w:r>
      <w:r w:rsidRPr="00680558">
        <w:rPr>
          <w:rFonts w:ascii="Garamond" w:hAnsi="Garamond"/>
          <w:sz w:val="17"/>
          <w:szCs w:val="17"/>
        </w:rPr>
        <w:t xml:space="preserve">, 13. </w:t>
      </w:r>
    </w:p>
  </w:footnote>
  <w:footnote w:id="205">
    <w:p w14:paraId="676C25A7" w14:textId="7DCB8109"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Ibid., 13. </w:t>
      </w:r>
    </w:p>
  </w:footnote>
  <w:footnote w:id="206">
    <w:p w14:paraId="072CAC42" w14:textId="1E8903AA"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Yale, William. Report by William Yale entitled "The Position of the Syrian Question Today," October 21, 1919, Box 3, Folder 7, William Yale Papers, University of New Hampshire, Durham, NH, 11. </w:t>
      </w:r>
    </w:p>
  </w:footnote>
  <w:footnote w:id="207">
    <w:p w14:paraId="57D91CBE" w14:textId="044C36DB"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208">
    <w:p w14:paraId="4448C165" w14:textId="0E687A97"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Yale, William. Report by William Yale entitled "The Position of the Syrian Question Today," October 21, 1919, Box 3, Folder 7, William Yale Papers, University of New Hampshire, Durham, NH, 11.</w:t>
      </w:r>
    </w:p>
  </w:footnote>
  <w:footnote w:id="209">
    <w:p w14:paraId="36301602" w14:textId="2AA416AC"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12.</w:t>
      </w:r>
    </w:p>
  </w:footnote>
  <w:footnote w:id="210">
    <w:p w14:paraId="6DC92E27" w14:textId="637650B7"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211">
    <w:p w14:paraId="59FC8FCB" w14:textId="050A3DE1"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Yale, William. Report by William Yale entitled "The Position of the Syrian Question Today," October 21, 1919, Box 3, Folder 7, William Yale Papers, University of New Hampshire, Durham, NH, 12. </w:t>
      </w:r>
    </w:p>
  </w:footnote>
  <w:footnote w:id="212">
    <w:p w14:paraId="492541E0" w14:textId="163B0E27"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213">
    <w:p w14:paraId="355D1421" w14:textId="0B37B951"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214">
    <w:p w14:paraId="4EDA0317" w14:textId="44052468"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13.</w:t>
      </w:r>
    </w:p>
  </w:footnote>
  <w:footnote w:id="215">
    <w:p w14:paraId="5B07EB1B" w14:textId="363B0B16"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Yale, William. Report by William Yale entitled "The Position of the Syrian Question Today," October 21, 1919, Box 3, Folder 7, William Yale Papers, University of New Hampshire, Durham, NH, 14</w:t>
      </w:r>
      <w:r w:rsidR="008D15D2">
        <w:rPr>
          <w:rFonts w:ascii="Garamond" w:hAnsi="Garamond"/>
          <w:sz w:val="17"/>
          <w:szCs w:val="17"/>
        </w:rPr>
        <w:t xml:space="preserve">; </w:t>
      </w:r>
      <w:r w:rsidR="008D15D2" w:rsidRPr="00680558">
        <w:rPr>
          <w:rFonts w:ascii="Garamond" w:hAnsi="Garamond"/>
          <w:sz w:val="17"/>
          <w:szCs w:val="17"/>
        </w:rPr>
        <w:t>DeNovo, “The Movement for an Aggressive Oil Policy,”</w:t>
      </w:r>
    </w:p>
  </w:footnote>
  <w:footnote w:id="216">
    <w:p w14:paraId="1CB55FAD" w14:textId="7FB2EAF5"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217">
    <w:p w14:paraId="7EFCE1E2" w14:textId="7530EABA"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DeNovo, “Petroleum and the American Navy,” 651</w:t>
      </w:r>
    </w:p>
  </w:footnote>
  <w:footnote w:id="218">
    <w:p w14:paraId="17F96F33" w14:textId="1B6BE4CF"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(can I cite the primary source when I haven’t seen it?</w:t>
      </w:r>
    </w:p>
  </w:footnote>
  <w:footnote w:id="219">
    <w:p w14:paraId="7916D8B6" w14:textId="2F270DF4" w:rsidR="001A07C5" w:rsidRPr="00C1491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w:t>
      </w:r>
    </w:p>
  </w:footnote>
  <w:footnote w:id="220">
    <w:p w14:paraId="75242CE9" w14:textId="011A8E20"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Yale, William. Report by William Yale entitled "The Position of the Syrian Question Today," October 21, 1919, Box 3, Folder 7, William Yale Papers, University of New Hampshire, Durham, NH, 15.</w:t>
      </w:r>
    </w:p>
  </w:footnote>
  <w:footnote w:id="221">
    <w:p w14:paraId="07DBE846" w14:textId="1D25D396" w:rsidR="001A07C5" w:rsidRPr="00C14918" w:rsidRDefault="001A07C5" w:rsidP="0030323A">
      <w:pPr>
        <w:pStyle w:val="FootnoteText"/>
        <w:rPr>
          <w:rFonts w:ascii="Garamond" w:hAnsi="Garamond"/>
          <w:i/>
          <w:iCs/>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Terry, </w:t>
      </w:r>
      <w:r w:rsidRPr="00680558">
        <w:rPr>
          <w:rFonts w:ascii="Garamond" w:hAnsi="Garamond"/>
          <w:i/>
          <w:iCs/>
          <w:sz w:val="17"/>
          <w:szCs w:val="17"/>
        </w:rPr>
        <w:t xml:space="preserve">William Yale, 160 </w:t>
      </w:r>
    </w:p>
  </w:footnote>
  <w:footnote w:id="222">
    <w:p w14:paraId="1A6A8233" w14:textId="5D17D8A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Memorandum entitled “Memorandum on the Policy of the U.S. Relative to the Treaty with Turkey,” October 1919, William Yale Papers, University of New Hampshire, Durham, NH. </w:t>
      </w:r>
    </w:p>
  </w:footnote>
  <w:footnote w:id="223">
    <w:p w14:paraId="03119DEC" w14:textId="0F032C32"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Memorandum entitled “Memorandum on the Policy of the U.S. Relative to the Treaty with Turkey,” October 1919, William Yale Papers, University of New Hampshire, Durham, NH, 2-3. </w:t>
      </w:r>
    </w:p>
  </w:footnote>
  <w:footnote w:id="224">
    <w:p w14:paraId="3033CA54" w14:textId="31A45265"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5. </w:t>
      </w:r>
    </w:p>
  </w:footnote>
  <w:footnote w:id="225">
    <w:p w14:paraId="55E40D79" w14:textId="7A8F0460"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Buckler actually underlined “hold” in his statement. Ibid.  </w:t>
      </w:r>
    </w:p>
  </w:footnote>
  <w:footnote w:id="226">
    <w:p w14:paraId="28E5B147" w14:textId="650BD903"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Yale, William. Report by William Yale entitled "The Position of the Syrian Question Today," October 21, 1919, Box 3, Folder 7, William Yale Papers, University of New Hampshire, Durham, NH, 15.</w:t>
      </w:r>
    </w:p>
  </w:footnote>
  <w:footnote w:id="227">
    <w:p w14:paraId="2D63247C" w14:textId="38E7F391"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6</w:t>
      </w:r>
    </w:p>
  </w:footnote>
  <w:footnote w:id="228">
    <w:p w14:paraId="4F7B667D" w14:textId="65AAC3DF"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Ibid. </w:t>
      </w:r>
    </w:p>
  </w:footnote>
  <w:footnote w:id="229">
    <w:p w14:paraId="4C17A127" w14:textId="3C3442F3" w:rsidR="001A07C5" w:rsidRPr="0068055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eastAsia="Times New Roman" w:hAnsi="Garamond" w:cs="Times New Roman"/>
          <w:sz w:val="17"/>
          <w:szCs w:val="17"/>
          <w:shd w:val="clear" w:color="auto" w:fill="FFFFFF"/>
        </w:rPr>
        <w:t xml:space="preserve">The Secretary of State to the Ambassador in Great Britain, July 26, 1920, Papers Relating to the Foreign Relations of the United States. </w:t>
      </w:r>
    </w:p>
  </w:footnote>
  <w:footnote w:id="230">
    <w:p w14:paraId="6E839DC1" w14:textId="1D89C4FF" w:rsidR="001A07C5" w:rsidRPr="00C14918" w:rsidRDefault="001A07C5" w:rsidP="00C14918">
      <w:pPr>
        <w:pStyle w:val="Bibliography"/>
        <w:ind w:left="720" w:hanging="720"/>
        <w:rPr>
          <w:rFonts w:ascii="Garamond" w:hAnsi="Garamond"/>
          <w:noProof/>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Memorandum by William Yale Concering Oil </w:t>
      </w:r>
    </w:p>
  </w:footnote>
  <w:footnote w:id="231">
    <w:p w14:paraId="418E238B" w14:textId="77777777" w:rsidR="001A07C5" w:rsidRPr="00C14918" w:rsidRDefault="001A07C5" w:rsidP="0030323A">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Thomas was not averse to talking with policymakers, he just did so stealthily. </w:t>
      </w:r>
    </w:p>
  </w:footnote>
  <w:footnote w:id="232">
    <w:p w14:paraId="705B7712" w14:textId="1BF8E32B" w:rsidR="001A07C5" w:rsidRPr="00680558" w:rsidRDefault="001A07C5" w:rsidP="0074706E">
      <w:pPr>
        <w:pStyle w:val="Bibliography"/>
        <w:ind w:left="720" w:hanging="720"/>
        <w:rPr>
          <w:rFonts w:ascii="Garamond" w:hAnsi="Garamond"/>
          <w:noProof/>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w:t>
      </w:r>
      <w:r w:rsidRPr="00680558">
        <w:rPr>
          <w:rFonts w:ascii="Garamond" w:hAnsi="Garamond"/>
          <w:noProof/>
          <w:sz w:val="17"/>
          <w:szCs w:val="17"/>
        </w:rPr>
        <w:t xml:space="preserve">Memorandum by William Yale Concering Oil </w:t>
      </w:r>
    </w:p>
    <w:p w14:paraId="419D7AF3" w14:textId="7FF3E3FF" w:rsidR="001A07C5" w:rsidRPr="00C14918" w:rsidRDefault="001A07C5">
      <w:pPr>
        <w:pStyle w:val="FootnoteText"/>
        <w:rPr>
          <w:rFonts w:ascii="Garamond" w:hAnsi="Garamond"/>
          <w:sz w:val="17"/>
          <w:szCs w:val="17"/>
        </w:rPr>
      </w:pPr>
    </w:p>
  </w:footnote>
  <w:footnote w:id="233">
    <w:p w14:paraId="14E0DAE6" w14:textId="24E0D9FA" w:rsidR="001A07C5" w:rsidRPr="00680558" w:rsidRDefault="001A07C5">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Geoffrey Hartman and Jane Nakano, “The Impact of Regional Maritime Disputes on Energy Security in Asia” (Washington, D.C. : Center for Strategic and International Studies , 2017); John Weinberger , “China Seeks to Dominate Off-Shore Energy Resources in the South and East China Seas” (International Association for Energy Economists , 2015); Neil Kimberly , “South China Sea Headbutting of Nations Is about Energy Security,” SCMP, April 5, 2016, https://www.scmp.com/business/article/1933745/south-china-sea-headbutting-nations-about-energy-security.</w:t>
      </w:r>
    </w:p>
  </w:footnote>
  <w:footnote w:id="234">
    <w:p w14:paraId="3C5DB6C5" w14:textId="4AC0C5D0" w:rsidR="001A07C5" w:rsidRPr="00680558" w:rsidRDefault="001A07C5" w:rsidP="002D2DC9">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Lloyd Thrall, “The Relationship between Natural Resources and Tensions in China’s Maritime Periphery,” 2013. </w:t>
      </w:r>
    </w:p>
  </w:footnote>
  <w:footnote w:id="235">
    <w:p w14:paraId="016920A3" w14:textId="2524E8F6" w:rsidR="001A07C5" w:rsidRPr="00680558" w:rsidRDefault="001A07C5" w:rsidP="00F4400C">
      <w:pPr>
        <w:pStyle w:val="FootnoteText"/>
        <w:rPr>
          <w:rFonts w:ascii="Garamond" w:hAnsi="Garamond"/>
          <w:sz w:val="17"/>
          <w:szCs w:val="17"/>
        </w:rPr>
      </w:pPr>
      <w:r w:rsidRPr="00680558">
        <w:rPr>
          <w:rStyle w:val="FootnoteReference"/>
          <w:rFonts w:ascii="Garamond" w:hAnsi="Garamond"/>
          <w:sz w:val="17"/>
          <w:szCs w:val="17"/>
        </w:rPr>
        <w:footnoteRef/>
      </w:r>
      <w:r w:rsidRPr="00680558">
        <w:rPr>
          <w:rFonts w:ascii="Garamond" w:hAnsi="Garamond"/>
          <w:sz w:val="17"/>
          <w:szCs w:val="17"/>
        </w:rPr>
        <w:t xml:space="preserve"> China Power Team , “How Much Trade Transits the South China Sea?,” China Power Project, January 25, 2021, https://chinapower.csis.org/much-trade-transits-south-china-sea/.</w:t>
      </w:r>
    </w:p>
    <w:p w14:paraId="324DFF96" w14:textId="3915D0BA" w:rsidR="001A07C5" w:rsidRPr="00680558" w:rsidRDefault="001A07C5">
      <w:pPr>
        <w:pStyle w:val="FootnoteText"/>
        <w:rPr>
          <w:rFonts w:ascii="Garamond" w:hAnsi="Garamond"/>
          <w:sz w:val="17"/>
          <w:szCs w:val="17"/>
        </w:rPr>
      </w:pPr>
    </w:p>
  </w:footnote>
  <w:footnote w:id="236">
    <w:p w14:paraId="159E3E4D" w14:textId="77777777" w:rsidR="001A07C5" w:rsidRPr="00F449AB" w:rsidRDefault="001A07C5" w:rsidP="005341D7">
      <w:pPr>
        <w:pStyle w:val="FootnoteText"/>
        <w:rPr>
          <w:rFonts w:ascii="Garamond" w:hAnsi="Garamond"/>
        </w:rPr>
      </w:pPr>
      <w:r w:rsidRPr="00F449AB">
        <w:rPr>
          <w:rStyle w:val="FootnoteReference"/>
          <w:rFonts w:ascii="Garamond" w:hAnsi="Garamond"/>
        </w:rPr>
        <w:footnoteRef/>
      </w:r>
      <w:r w:rsidRPr="00F449AB">
        <w:rPr>
          <w:rFonts w:ascii="Garamond" w:hAnsi="Garamond"/>
        </w:rPr>
        <w:t xml:space="preserve"> </w:t>
      </w:r>
      <w:r>
        <w:rPr>
          <w:rFonts w:ascii="Garamond" w:hAnsi="Garamond"/>
        </w:rPr>
        <w:t xml:space="preserve">This map represents the destinations that the Bagdad Railway Concession was aiming to connect; Viscount Bryce,“The City </w:t>
      </w:r>
      <w:r w:rsidRPr="00FB5F4C">
        <w:rPr>
          <w:rFonts w:ascii="Garamond" w:hAnsi="Garamond"/>
        </w:rPr>
        <w:t>of</w:t>
      </w:r>
      <w:r>
        <w:rPr>
          <w:rFonts w:ascii="Garamond" w:hAnsi="Garamond"/>
        </w:rPr>
        <w:t xml:space="preserve"> Angora,” BYU Library, Bringham Young University, 1916 Manuscript Published online </w:t>
      </w:r>
      <w:hyperlink r:id="rId8" w:anchor="XII" w:history="1">
        <w:r w:rsidRPr="000615CB">
          <w:rPr>
            <w:rStyle w:val="Hyperlink"/>
            <w:rFonts w:ascii="Garamond" w:hAnsi="Garamond"/>
          </w:rPr>
          <w:t>https://net.lib.byu.edu/~rdh7/wwi/1915/bryce/a12.htm#XII</w:t>
        </w:r>
      </w:hyperlink>
      <w:r w:rsidRPr="00F449AB">
        <w:rPr>
          <w:rFonts w:ascii="Garamond" w:hAnsi="Garamond"/>
        </w:rPr>
        <w:t xml:space="preserve"> </w:t>
      </w:r>
    </w:p>
  </w:footnote>
  <w:footnote w:id="237">
    <w:p w14:paraId="72C8CDDC" w14:textId="77777777" w:rsidR="001A07C5" w:rsidRPr="00FA3EBC" w:rsidRDefault="001A07C5" w:rsidP="005341D7">
      <w:pPr>
        <w:pStyle w:val="FootnoteText"/>
        <w:rPr>
          <w:rFonts w:ascii="Garamond" w:hAnsi="Garamond"/>
        </w:rPr>
      </w:pPr>
      <w:r w:rsidRPr="00FA3EBC">
        <w:rPr>
          <w:rStyle w:val="FootnoteReference"/>
          <w:rFonts w:ascii="Garamond" w:hAnsi="Garamond"/>
        </w:rPr>
        <w:footnoteRef/>
      </w:r>
      <w:r w:rsidRPr="00FA3EBC">
        <w:rPr>
          <w:rFonts w:ascii="Garamond" w:hAnsi="Garamond"/>
        </w:rPr>
        <w:t xml:space="preserve"> </w:t>
      </w:r>
      <w:r>
        <w:rPr>
          <w:rFonts w:ascii="Garamond" w:hAnsi="Garamond"/>
        </w:rPr>
        <w:t xml:space="preserve">This map shows the OETA’s designated to each occupying power, and the locations of the occupying powers’ forces upon the end of World War I. King Crane Digital Collection, Oberlin College. </w:t>
      </w:r>
    </w:p>
  </w:footnote>
  <w:footnote w:id="238">
    <w:p w14:paraId="1C8E727A" w14:textId="77777777" w:rsidR="001A07C5" w:rsidRPr="00016CAB" w:rsidRDefault="001A07C5" w:rsidP="005341D7">
      <w:pPr>
        <w:pStyle w:val="FootnoteText"/>
        <w:rPr>
          <w:rFonts w:ascii="Garamond" w:hAnsi="Garamond"/>
        </w:rPr>
      </w:pPr>
      <w:r w:rsidRPr="00016CAB">
        <w:rPr>
          <w:rStyle w:val="FootnoteReference"/>
          <w:rFonts w:ascii="Garamond" w:hAnsi="Garamond"/>
        </w:rPr>
        <w:footnoteRef/>
      </w:r>
      <w:r w:rsidRPr="00016CAB">
        <w:rPr>
          <w:rFonts w:ascii="Garamond" w:hAnsi="Garamond"/>
        </w:rPr>
        <w:t xml:space="preserve"> </w:t>
      </w:r>
      <w:r w:rsidRPr="00DB7E18">
        <w:rPr>
          <w:rFonts w:ascii="Garamond" w:hAnsi="Garamond"/>
          <w:noProof/>
        </w:rPr>
        <w:t>"Report by Albert H. Lybyer, 1 July 1919," July 1919, King - Crane Commission Digital Collection, Oberlin College, Ohio,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645798"/>
      <w:docPartObj>
        <w:docPartGallery w:val="Page Numbers (Top of Page)"/>
        <w:docPartUnique/>
      </w:docPartObj>
    </w:sdtPr>
    <w:sdtEndPr>
      <w:rPr>
        <w:rStyle w:val="PageNumber"/>
      </w:rPr>
    </w:sdtEndPr>
    <w:sdtContent>
      <w:p w14:paraId="04F66530" w14:textId="77777777" w:rsidR="001A07C5" w:rsidRDefault="001A07C5" w:rsidP="00680558">
        <w:pPr>
          <w:pStyle w:val="Header"/>
          <w:framePr w:wrap="none" w:vAnchor="text" w:hAnchor="margin" w:xAlign="center" w:y="1"/>
          <w:rPr>
            <w:rStyle w:val="PageNumbe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end"/>
        </w:r>
      </w:p>
    </w:sdtContent>
  </w:sdt>
  <w:p w14:paraId="7B94A62B" w14:textId="77777777" w:rsidR="001A07C5" w:rsidRDefault="001A07C5" w:rsidP="001E65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1518280326"/>
      <w:docPartObj>
        <w:docPartGallery w:val="Page Numbers (Top of Page)"/>
        <w:docPartUnique/>
      </w:docPartObj>
    </w:sdtPr>
    <w:sdtEndPr>
      <w:rPr>
        <w:rStyle w:val="PageNumber"/>
      </w:rPr>
    </w:sdtEndPr>
    <w:sdtContent>
      <w:p w14:paraId="7571C5F2" w14:textId="77777777" w:rsidR="001A07C5" w:rsidRPr="00E158CA" w:rsidRDefault="001A07C5" w:rsidP="00680558">
        <w:pPr>
          <w:pStyle w:val="Header"/>
          <w:framePr w:wrap="none" w:vAnchor="text" w:hAnchor="margin" w:xAlign="center" w:y="1"/>
          <w:rPr>
            <w:rStyle w:val="PageNumber"/>
            <w:rFonts w:ascii="Garamond" w:hAnsi="Garamond" w:cs="Times New Roman"/>
          </w:rPr>
        </w:pPr>
        <w:r w:rsidRPr="00E158CA">
          <w:rPr>
            <w:rStyle w:val="PageNumber"/>
            <w:rFonts w:ascii="Garamond" w:hAnsi="Garamond"/>
          </w:rPr>
          <w:fldChar w:fldCharType="begin"/>
        </w:r>
        <w:r w:rsidRPr="00E158CA">
          <w:rPr>
            <w:rStyle w:val="PageNumber"/>
            <w:rFonts w:ascii="Garamond" w:hAnsi="Garamond"/>
          </w:rPr>
          <w:instrText xml:space="preserve"> PAGE </w:instrText>
        </w:r>
        <w:r w:rsidRPr="00E158CA">
          <w:rPr>
            <w:rStyle w:val="PageNumber"/>
            <w:rFonts w:ascii="Garamond" w:hAnsi="Garamond"/>
          </w:rPr>
          <w:fldChar w:fldCharType="separate"/>
        </w:r>
        <w:r w:rsidRPr="00E158CA">
          <w:rPr>
            <w:rStyle w:val="PageNumber"/>
            <w:rFonts w:ascii="Garamond" w:hAnsi="Garamond"/>
            <w:noProof/>
          </w:rPr>
          <w:t>1</w:t>
        </w:r>
        <w:r w:rsidRPr="00E158CA">
          <w:rPr>
            <w:rStyle w:val="PageNumber"/>
            <w:rFonts w:ascii="Garamond" w:hAnsi="Garamond"/>
          </w:rPr>
          <w:fldChar w:fldCharType="end"/>
        </w:r>
      </w:p>
    </w:sdtContent>
  </w:sdt>
  <w:p w14:paraId="28C3D50B" w14:textId="77777777" w:rsidR="001A07C5" w:rsidRDefault="001A07C5" w:rsidP="001E65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1D7"/>
    <w:multiLevelType w:val="hybridMultilevel"/>
    <w:tmpl w:val="4E462514"/>
    <w:lvl w:ilvl="0" w:tplc="216ED42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761340"/>
    <w:multiLevelType w:val="hybridMultilevel"/>
    <w:tmpl w:val="F2CE9294"/>
    <w:lvl w:ilvl="0" w:tplc="DBACE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4B87"/>
    <w:multiLevelType w:val="hybridMultilevel"/>
    <w:tmpl w:val="D3887FD4"/>
    <w:lvl w:ilvl="0" w:tplc="B9F6CB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15B56"/>
    <w:multiLevelType w:val="hybridMultilevel"/>
    <w:tmpl w:val="8DD25AC6"/>
    <w:lvl w:ilvl="0" w:tplc="7C007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B35E8"/>
    <w:multiLevelType w:val="hybridMultilevel"/>
    <w:tmpl w:val="FD8460EA"/>
    <w:lvl w:ilvl="0" w:tplc="BB7AF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440B9"/>
    <w:multiLevelType w:val="hybridMultilevel"/>
    <w:tmpl w:val="4546F8F4"/>
    <w:lvl w:ilvl="0" w:tplc="0FB604E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035C59"/>
    <w:multiLevelType w:val="hybridMultilevel"/>
    <w:tmpl w:val="5B16C3F2"/>
    <w:lvl w:ilvl="0" w:tplc="F8FC64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7C746E"/>
    <w:multiLevelType w:val="hybridMultilevel"/>
    <w:tmpl w:val="8AAA12C4"/>
    <w:lvl w:ilvl="0" w:tplc="4E905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2F08"/>
    <w:multiLevelType w:val="hybridMultilevel"/>
    <w:tmpl w:val="C22CB94E"/>
    <w:lvl w:ilvl="0" w:tplc="2FE82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1195F"/>
    <w:multiLevelType w:val="hybridMultilevel"/>
    <w:tmpl w:val="0292F4DA"/>
    <w:lvl w:ilvl="0" w:tplc="DC624EAE">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101C7"/>
    <w:multiLevelType w:val="hybridMultilevel"/>
    <w:tmpl w:val="FED60C3E"/>
    <w:lvl w:ilvl="0" w:tplc="3C969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5C0AE3"/>
    <w:multiLevelType w:val="hybridMultilevel"/>
    <w:tmpl w:val="1554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32EE2"/>
    <w:multiLevelType w:val="hybridMultilevel"/>
    <w:tmpl w:val="5A82B8AC"/>
    <w:lvl w:ilvl="0" w:tplc="2B68C218">
      <w:start w:val="1"/>
      <w:numFmt w:val="upperRoman"/>
      <w:lvlText w:val="%1."/>
      <w:lvlJc w:val="lef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C4858"/>
    <w:multiLevelType w:val="hybridMultilevel"/>
    <w:tmpl w:val="13B684A0"/>
    <w:lvl w:ilvl="0" w:tplc="E79ABF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1B011A"/>
    <w:multiLevelType w:val="hybridMultilevel"/>
    <w:tmpl w:val="FE68A7E4"/>
    <w:lvl w:ilvl="0" w:tplc="09C29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52E60"/>
    <w:multiLevelType w:val="hybridMultilevel"/>
    <w:tmpl w:val="D644668C"/>
    <w:lvl w:ilvl="0" w:tplc="88686A60">
      <w:start w:val="1"/>
      <w:numFmt w:val="upperRoman"/>
      <w:lvlText w:val="%1."/>
      <w:lvlJc w:val="lef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431D7"/>
    <w:multiLevelType w:val="hybridMultilevel"/>
    <w:tmpl w:val="78560F3A"/>
    <w:lvl w:ilvl="0" w:tplc="204EAF3E">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246CB"/>
    <w:multiLevelType w:val="hybridMultilevel"/>
    <w:tmpl w:val="A6E674A4"/>
    <w:lvl w:ilvl="0" w:tplc="212872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483B8B"/>
    <w:multiLevelType w:val="hybridMultilevel"/>
    <w:tmpl w:val="4D144C0C"/>
    <w:lvl w:ilvl="0" w:tplc="6A56D6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1261FD"/>
    <w:multiLevelType w:val="hybridMultilevel"/>
    <w:tmpl w:val="26888D9E"/>
    <w:lvl w:ilvl="0" w:tplc="88BAF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719E7"/>
    <w:multiLevelType w:val="hybridMultilevel"/>
    <w:tmpl w:val="67DE1A1E"/>
    <w:lvl w:ilvl="0" w:tplc="CABE516E">
      <w:start w:val="4"/>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363C6"/>
    <w:multiLevelType w:val="hybridMultilevel"/>
    <w:tmpl w:val="A6E674A4"/>
    <w:lvl w:ilvl="0" w:tplc="212872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A42AD2"/>
    <w:multiLevelType w:val="hybridMultilevel"/>
    <w:tmpl w:val="C60AE366"/>
    <w:lvl w:ilvl="0" w:tplc="5540DA7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5023A36"/>
    <w:multiLevelType w:val="hybridMultilevel"/>
    <w:tmpl w:val="E1DA11B6"/>
    <w:lvl w:ilvl="0" w:tplc="D766F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94A01"/>
    <w:multiLevelType w:val="hybridMultilevel"/>
    <w:tmpl w:val="ED60FAE0"/>
    <w:lvl w:ilvl="0" w:tplc="0B3664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F378F"/>
    <w:multiLevelType w:val="hybridMultilevel"/>
    <w:tmpl w:val="008A22B6"/>
    <w:lvl w:ilvl="0" w:tplc="F024211C">
      <w:start w:val="1"/>
      <w:numFmt w:val="upperRoman"/>
      <w:lvlText w:val="%1."/>
      <w:lvlJc w:val="left"/>
      <w:pPr>
        <w:ind w:left="720" w:hanging="360"/>
      </w:pPr>
      <w:rPr>
        <w:rFonts w:ascii="Garamond" w:eastAsiaTheme="minorHAnsi" w:hAnsi="Garamond"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47AE7"/>
    <w:multiLevelType w:val="hybridMultilevel"/>
    <w:tmpl w:val="C470B6AE"/>
    <w:lvl w:ilvl="0" w:tplc="0B0AF9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7475A4"/>
    <w:multiLevelType w:val="hybridMultilevel"/>
    <w:tmpl w:val="CAC2FB18"/>
    <w:lvl w:ilvl="0" w:tplc="F154AAEC">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6708B"/>
    <w:multiLevelType w:val="hybridMultilevel"/>
    <w:tmpl w:val="2A5215B2"/>
    <w:lvl w:ilvl="0" w:tplc="9920D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3563A"/>
    <w:multiLevelType w:val="hybridMultilevel"/>
    <w:tmpl w:val="F9D61F4A"/>
    <w:lvl w:ilvl="0" w:tplc="5DAE695A">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E4CD7"/>
    <w:multiLevelType w:val="hybridMultilevel"/>
    <w:tmpl w:val="4C0617A6"/>
    <w:lvl w:ilvl="0" w:tplc="70ECA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00740"/>
    <w:multiLevelType w:val="hybridMultilevel"/>
    <w:tmpl w:val="E9F88096"/>
    <w:lvl w:ilvl="0" w:tplc="53706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C1C5E"/>
    <w:multiLevelType w:val="hybridMultilevel"/>
    <w:tmpl w:val="BE963010"/>
    <w:lvl w:ilvl="0" w:tplc="E3249BC0">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42CD2"/>
    <w:multiLevelType w:val="hybridMultilevel"/>
    <w:tmpl w:val="3A04FD12"/>
    <w:lvl w:ilvl="0" w:tplc="690A411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E4CC1"/>
    <w:multiLevelType w:val="hybridMultilevel"/>
    <w:tmpl w:val="95BAAB3C"/>
    <w:lvl w:ilvl="0" w:tplc="FB7424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1B1415"/>
    <w:multiLevelType w:val="hybridMultilevel"/>
    <w:tmpl w:val="7AA2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57D5D"/>
    <w:multiLevelType w:val="hybridMultilevel"/>
    <w:tmpl w:val="A7029978"/>
    <w:lvl w:ilvl="0" w:tplc="AD44A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96C40"/>
    <w:multiLevelType w:val="hybridMultilevel"/>
    <w:tmpl w:val="921CC328"/>
    <w:lvl w:ilvl="0" w:tplc="7568A7A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11358A"/>
    <w:multiLevelType w:val="hybridMultilevel"/>
    <w:tmpl w:val="1ABAC1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E73D1"/>
    <w:multiLevelType w:val="hybridMultilevel"/>
    <w:tmpl w:val="BA027FA8"/>
    <w:lvl w:ilvl="0" w:tplc="CFD810A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159DB"/>
    <w:multiLevelType w:val="hybridMultilevel"/>
    <w:tmpl w:val="D618CDEA"/>
    <w:lvl w:ilvl="0" w:tplc="20F22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644A7"/>
    <w:multiLevelType w:val="hybridMultilevel"/>
    <w:tmpl w:val="35EAB218"/>
    <w:lvl w:ilvl="0" w:tplc="5DAE7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74915"/>
    <w:multiLevelType w:val="hybridMultilevel"/>
    <w:tmpl w:val="E05CED0E"/>
    <w:lvl w:ilvl="0" w:tplc="BA12E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9"/>
  </w:num>
  <w:num w:numId="4">
    <w:abstractNumId w:val="35"/>
  </w:num>
  <w:num w:numId="5">
    <w:abstractNumId w:val="4"/>
  </w:num>
  <w:num w:numId="6">
    <w:abstractNumId w:val="2"/>
  </w:num>
  <w:num w:numId="7">
    <w:abstractNumId w:val="26"/>
  </w:num>
  <w:num w:numId="8">
    <w:abstractNumId w:val="18"/>
  </w:num>
  <w:num w:numId="9">
    <w:abstractNumId w:val="1"/>
  </w:num>
  <w:num w:numId="10">
    <w:abstractNumId w:val="40"/>
  </w:num>
  <w:num w:numId="11">
    <w:abstractNumId w:val="23"/>
  </w:num>
  <w:num w:numId="12">
    <w:abstractNumId w:val="29"/>
  </w:num>
  <w:num w:numId="13">
    <w:abstractNumId w:val="32"/>
  </w:num>
  <w:num w:numId="14">
    <w:abstractNumId w:val="16"/>
  </w:num>
  <w:num w:numId="15">
    <w:abstractNumId w:val="15"/>
  </w:num>
  <w:num w:numId="16">
    <w:abstractNumId w:val="25"/>
  </w:num>
  <w:num w:numId="17">
    <w:abstractNumId w:val="12"/>
  </w:num>
  <w:num w:numId="18">
    <w:abstractNumId w:val="41"/>
  </w:num>
  <w:num w:numId="19">
    <w:abstractNumId w:val="8"/>
  </w:num>
  <w:num w:numId="20">
    <w:abstractNumId w:val="3"/>
  </w:num>
  <w:num w:numId="21">
    <w:abstractNumId w:val="42"/>
  </w:num>
  <w:num w:numId="22">
    <w:abstractNumId w:val="33"/>
  </w:num>
  <w:num w:numId="23">
    <w:abstractNumId w:val="28"/>
  </w:num>
  <w:num w:numId="24">
    <w:abstractNumId w:val="24"/>
  </w:num>
  <w:num w:numId="25">
    <w:abstractNumId w:val="38"/>
  </w:num>
  <w:num w:numId="26">
    <w:abstractNumId w:val="14"/>
  </w:num>
  <w:num w:numId="27">
    <w:abstractNumId w:val="10"/>
  </w:num>
  <w:num w:numId="28">
    <w:abstractNumId w:val="7"/>
  </w:num>
  <w:num w:numId="29">
    <w:abstractNumId w:val="27"/>
  </w:num>
  <w:num w:numId="30">
    <w:abstractNumId w:val="31"/>
  </w:num>
  <w:num w:numId="31">
    <w:abstractNumId w:val="30"/>
  </w:num>
  <w:num w:numId="32">
    <w:abstractNumId w:val="34"/>
  </w:num>
  <w:num w:numId="33">
    <w:abstractNumId w:val="6"/>
  </w:num>
  <w:num w:numId="34">
    <w:abstractNumId w:val="13"/>
  </w:num>
  <w:num w:numId="35">
    <w:abstractNumId w:val="0"/>
  </w:num>
  <w:num w:numId="36">
    <w:abstractNumId w:val="20"/>
  </w:num>
  <w:num w:numId="37">
    <w:abstractNumId w:val="22"/>
  </w:num>
  <w:num w:numId="38">
    <w:abstractNumId w:val="5"/>
  </w:num>
  <w:num w:numId="39">
    <w:abstractNumId w:val="36"/>
  </w:num>
  <w:num w:numId="40">
    <w:abstractNumId w:val="17"/>
  </w:num>
  <w:num w:numId="41">
    <w:abstractNumId w:val="39"/>
  </w:num>
  <w:num w:numId="42">
    <w:abstractNumId w:val="3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3A"/>
    <w:rsid w:val="00010CE9"/>
    <w:rsid w:val="00011570"/>
    <w:rsid w:val="000140C7"/>
    <w:rsid w:val="00022F21"/>
    <w:rsid w:val="0002479F"/>
    <w:rsid w:val="0003268B"/>
    <w:rsid w:val="000377E2"/>
    <w:rsid w:val="00043F0A"/>
    <w:rsid w:val="00045017"/>
    <w:rsid w:val="000839DB"/>
    <w:rsid w:val="00085392"/>
    <w:rsid w:val="000857B3"/>
    <w:rsid w:val="00085A70"/>
    <w:rsid w:val="0009175B"/>
    <w:rsid w:val="00092EED"/>
    <w:rsid w:val="000A4A70"/>
    <w:rsid w:val="000A556A"/>
    <w:rsid w:val="000B6325"/>
    <w:rsid w:val="000C0FAF"/>
    <w:rsid w:val="000C7CF5"/>
    <w:rsid w:val="000D0772"/>
    <w:rsid w:val="000D3BE6"/>
    <w:rsid w:val="000D4E25"/>
    <w:rsid w:val="000E5484"/>
    <w:rsid w:val="000F5ADB"/>
    <w:rsid w:val="001117A5"/>
    <w:rsid w:val="00122A3F"/>
    <w:rsid w:val="00123FA1"/>
    <w:rsid w:val="001331FC"/>
    <w:rsid w:val="00133A65"/>
    <w:rsid w:val="00145EEB"/>
    <w:rsid w:val="00153C0C"/>
    <w:rsid w:val="00154658"/>
    <w:rsid w:val="00161B7C"/>
    <w:rsid w:val="00161B97"/>
    <w:rsid w:val="00163340"/>
    <w:rsid w:val="0016410A"/>
    <w:rsid w:val="00165DE7"/>
    <w:rsid w:val="00170051"/>
    <w:rsid w:val="001701ED"/>
    <w:rsid w:val="0017102E"/>
    <w:rsid w:val="00171310"/>
    <w:rsid w:val="0017343A"/>
    <w:rsid w:val="00177CEC"/>
    <w:rsid w:val="00181520"/>
    <w:rsid w:val="00185E5A"/>
    <w:rsid w:val="00187877"/>
    <w:rsid w:val="00194DC6"/>
    <w:rsid w:val="001951C4"/>
    <w:rsid w:val="00195A1E"/>
    <w:rsid w:val="00197AEF"/>
    <w:rsid w:val="00197DE7"/>
    <w:rsid w:val="001A04E5"/>
    <w:rsid w:val="001A07C5"/>
    <w:rsid w:val="001A3501"/>
    <w:rsid w:val="001A7E51"/>
    <w:rsid w:val="001B1278"/>
    <w:rsid w:val="001B1C4B"/>
    <w:rsid w:val="001B2C33"/>
    <w:rsid w:val="001D2687"/>
    <w:rsid w:val="001D3D87"/>
    <w:rsid w:val="001D5245"/>
    <w:rsid w:val="001E26F6"/>
    <w:rsid w:val="001E3933"/>
    <w:rsid w:val="001E3C24"/>
    <w:rsid w:val="001E656F"/>
    <w:rsid w:val="001F7435"/>
    <w:rsid w:val="00200224"/>
    <w:rsid w:val="00200C42"/>
    <w:rsid w:val="00201865"/>
    <w:rsid w:val="0020225C"/>
    <w:rsid w:val="00210A9C"/>
    <w:rsid w:val="002133C6"/>
    <w:rsid w:val="00214612"/>
    <w:rsid w:val="00222E1B"/>
    <w:rsid w:val="00227ABC"/>
    <w:rsid w:val="00231069"/>
    <w:rsid w:val="0023180C"/>
    <w:rsid w:val="002440FD"/>
    <w:rsid w:val="00247E5C"/>
    <w:rsid w:val="0025157C"/>
    <w:rsid w:val="00252C12"/>
    <w:rsid w:val="00253A83"/>
    <w:rsid w:val="00254383"/>
    <w:rsid w:val="00254C73"/>
    <w:rsid w:val="00262B14"/>
    <w:rsid w:val="00270C7B"/>
    <w:rsid w:val="0027282A"/>
    <w:rsid w:val="00274863"/>
    <w:rsid w:val="00282FDB"/>
    <w:rsid w:val="002A02E6"/>
    <w:rsid w:val="002A0C88"/>
    <w:rsid w:val="002A5555"/>
    <w:rsid w:val="002A7BB3"/>
    <w:rsid w:val="002C576F"/>
    <w:rsid w:val="002D2DC9"/>
    <w:rsid w:val="002D5170"/>
    <w:rsid w:val="002D587C"/>
    <w:rsid w:val="002D5A0F"/>
    <w:rsid w:val="002E0B4B"/>
    <w:rsid w:val="002E2648"/>
    <w:rsid w:val="002F1A9E"/>
    <w:rsid w:val="003022E7"/>
    <w:rsid w:val="00302F87"/>
    <w:rsid w:val="0030323A"/>
    <w:rsid w:val="00305CC0"/>
    <w:rsid w:val="003078A5"/>
    <w:rsid w:val="00307AA1"/>
    <w:rsid w:val="0031665B"/>
    <w:rsid w:val="00323CCB"/>
    <w:rsid w:val="00327085"/>
    <w:rsid w:val="003275EC"/>
    <w:rsid w:val="00331CDE"/>
    <w:rsid w:val="0034301A"/>
    <w:rsid w:val="00343B9A"/>
    <w:rsid w:val="00345A75"/>
    <w:rsid w:val="00351C87"/>
    <w:rsid w:val="0035501F"/>
    <w:rsid w:val="00360FE7"/>
    <w:rsid w:val="00361059"/>
    <w:rsid w:val="00365FFE"/>
    <w:rsid w:val="00366A24"/>
    <w:rsid w:val="0037555F"/>
    <w:rsid w:val="0037729B"/>
    <w:rsid w:val="00382EE8"/>
    <w:rsid w:val="00390FCB"/>
    <w:rsid w:val="00393DDC"/>
    <w:rsid w:val="003A0DF9"/>
    <w:rsid w:val="003A67D8"/>
    <w:rsid w:val="003B43EF"/>
    <w:rsid w:val="003C2A4B"/>
    <w:rsid w:val="003C384A"/>
    <w:rsid w:val="003C5714"/>
    <w:rsid w:val="003D442E"/>
    <w:rsid w:val="003D52DE"/>
    <w:rsid w:val="003E0B62"/>
    <w:rsid w:val="003E0B7A"/>
    <w:rsid w:val="003E1FA1"/>
    <w:rsid w:val="003E2321"/>
    <w:rsid w:val="003E5CEE"/>
    <w:rsid w:val="003E7FFE"/>
    <w:rsid w:val="003F033E"/>
    <w:rsid w:val="003F1A58"/>
    <w:rsid w:val="003F6E19"/>
    <w:rsid w:val="00400498"/>
    <w:rsid w:val="00400E37"/>
    <w:rsid w:val="0040391C"/>
    <w:rsid w:val="00404580"/>
    <w:rsid w:val="004049AA"/>
    <w:rsid w:val="00404DF7"/>
    <w:rsid w:val="004174F6"/>
    <w:rsid w:val="00422DA9"/>
    <w:rsid w:val="0043571C"/>
    <w:rsid w:val="00441799"/>
    <w:rsid w:val="00445498"/>
    <w:rsid w:val="0045208E"/>
    <w:rsid w:val="00457761"/>
    <w:rsid w:val="00464230"/>
    <w:rsid w:val="0046480E"/>
    <w:rsid w:val="0046586D"/>
    <w:rsid w:val="00466B6D"/>
    <w:rsid w:val="004725CD"/>
    <w:rsid w:val="00476524"/>
    <w:rsid w:val="00476D99"/>
    <w:rsid w:val="00484893"/>
    <w:rsid w:val="004851AF"/>
    <w:rsid w:val="004A1562"/>
    <w:rsid w:val="004A37FA"/>
    <w:rsid w:val="004A617B"/>
    <w:rsid w:val="004C5615"/>
    <w:rsid w:val="004D06F9"/>
    <w:rsid w:val="004D4B15"/>
    <w:rsid w:val="004D795E"/>
    <w:rsid w:val="004E2229"/>
    <w:rsid w:val="004F00CB"/>
    <w:rsid w:val="004F24FA"/>
    <w:rsid w:val="004F29A6"/>
    <w:rsid w:val="00500895"/>
    <w:rsid w:val="005115B1"/>
    <w:rsid w:val="00515DA9"/>
    <w:rsid w:val="0051612D"/>
    <w:rsid w:val="005201C9"/>
    <w:rsid w:val="0052086B"/>
    <w:rsid w:val="00521D35"/>
    <w:rsid w:val="00525468"/>
    <w:rsid w:val="00526161"/>
    <w:rsid w:val="005341D7"/>
    <w:rsid w:val="00534BB1"/>
    <w:rsid w:val="00537B90"/>
    <w:rsid w:val="005404BD"/>
    <w:rsid w:val="0054309E"/>
    <w:rsid w:val="00543B68"/>
    <w:rsid w:val="00550A61"/>
    <w:rsid w:val="00560B15"/>
    <w:rsid w:val="00562491"/>
    <w:rsid w:val="00565707"/>
    <w:rsid w:val="0057087A"/>
    <w:rsid w:val="0057346B"/>
    <w:rsid w:val="005773FF"/>
    <w:rsid w:val="00577E4F"/>
    <w:rsid w:val="0058228D"/>
    <w:rsid w:val="005840BB"/>
    <w:rsid w:val="00584730"/>
    <w:rsid w:val="00585B96"/>
    <w:rsid w:val="00592111"/>
    <w:rsid w:val="0059440A"/>
    <w:rsid w:val="00596EDF"/>
    <w:rsid w:val="005A2633"/>
    <w:rsid w:val="005A44FB"/>
    <w:rsid w:val="005B3E47"/>
    <w:rsid w:val="005B4C3C"/>
    <w:rsid w:val="005B75F2"/>
    <w:rsid w:val="005D01DA"/>
    <w:rsid w:val="005D56FC"/>
    <w:rsid w:val="005D5C82"/>
    <w:rsid w:val="005D7E21"/>
    <w:rsid w:val="005E0593"/>
    <w:rsid w:val="005E2D33"/>
    <w:rsid w:val="005F56DF"/>
    <w:rsid w:val="00603343"/>
    <w:rsid w:val="0060590A"/>
    <w:rsid w:val="0060681C"/>
    <w:rsid w:val="0061242B"/>
    <w:rsid w:val="00612AAC"/>
    <w:rsid w:val="00623699"/>
    <w:rsid w:val="006236C8"/>
    <w:rsid w:val="006258B5"/>
    <w:rsid w:val="0063046E"/>
    <w:rsid w:val="0063429B"/>
    <w:rsid w:val="00634CB5"/>
    <w:rsid w:val="00640458"/>
    <w:rsid w:val="00640F35"/>
    <w:rsid w:val="0064630F"/>
    <w:rsid w:val="0065270B"/>
    <w:rsid w:val="006547EA"/>
    <w:rsid w:val="00657A2C"/>
    <w:rsid w:val="006602EB"/>
    <w:rsid w:val="00660C33"/>
    <w:rsid w:val="00665B03"/>
    <w:rsid w:val="0067111D"/>
    <w:rsid w:val="00671393"/>
    <w:rsid w:val="00672FDC"/>
    <w:rsid w:val="00677CC4"/>
    <w:rsid w:val="00680558"/>
    <w:rsid w:val="00681FCA"/>
    <w:rsid w:val="00685E38"/>
    <w:rsid w:val="006948FA"/>
    <w:rsid w:val="00695690"/>
    <w:rsid w:val="006A44DD"/>
    <w:rsid w:val="006A5259"/>
    <w:rsid w:val="006B2976"/>
    <w:rsid w:val="006B429F"/>
    <w:rsid w:val="006C1146"/>
    <w:rsid w:val="006C7101"/>
    <w:rsid w:val="006D0CC2"/>
    <w:rsid w:val="006D209E"/>
    <w:rsid w:val="006E1C32"/>
    <w:rsid w:val="006E4F44"/>
    <w:rsid w:val="006F0ECE"/>
    <w:rsid w:val="006F1337"/>
    <w:rsid w:val="006F1C71"/>
    <w:rsid w:val="006F614B"/>
    <w:rsid w:val="007004BC"/>
    <w:rsid w:val="00700F22"/>
    <w:rsid w:val="007055E8"/>
    <w:rsid w:val="007114F5"/>
    <w:rsid w:val="007135D6"/>
    <w:rsid w:val="00714B68"/>
    <w:rsid w:val="0071608B"/>
    <w:rsid w:val="0071695F"/>
    <w:rsid w:val="00717B62"/>
    <w:rsid w:val="0072514E"/>
    <w:rsid w:val="00725C35"/>
    <w:rsid w:val="00726104"/>
    <w:rsid w:val="00730E9E"/>
    <w:rsid w:val="00733E17"/>
    <w:rsid w:val="00737295"/>
    <w:rsid w:val="00741AC2"/>
    <w:rsid w:val="007424EE"/>
    <w:rsid w:val="0074706E"/>
    <w:rsid w:val="0075067F"/>
    <w:rsid w:val="0075161E"/>
    <w:rsid w:val="00751917"/>
    <w:rsid w:val="00752898"/>
    <w:rsid w:val="00757DBC"/>
    <w:rsid w:val="00757FEA"/>
    <w:rsid w:val="0076088B"/>
    <w:rsid w:val="00764D3F"/>
    <w:rsid w:val="007658AB"/>
    <w:rsid w:val="00766E30"/>
    <w:rsid w:val="00771540"/>
    <w:rsid w:val="00793EFE"/>
    <w:rsid w:val="0079682F"/>
    <w:rsid w:val="00796D6E"/>
    <w:rsid w:val="007A1610"/>
    <w:rsid w:val="007A5474"/>
    <w:rsid w:val="007A7F5C"/>
    <w:rsid w:val="007B4836"/>
    <w:rsid w:val="007C05CD"/>
    <w:rsid w:val="007C16E9"/>
    <w:rsid w:val="007C3DC4"/>
    <w:rsid w:val="007D1B07"/>
    <w:rsid w:val="007D4E98"/>
    <w:rsid w:val="007D5657"/>
    <w:rsid w:val="007D7C13"/>
    <w:rsid w:val="007E4150"/>
    <w:rsid w:val="007E50CA"/>
    <w:rsid w:val="007E68B9"/>
    <w:rsid w:val="007F3D46"/>
    <w:rsid w:val="00800A71"/>
    <w:rsid w:val="00806FE6"/>
    <w:rsid w:val="00832C10"/>
    <w:rsid w:val="00842CBC"/>
    <w:rsid w:val="00846AB9"/>
    <w:rsid w:val="00850D77"/>
    <w:rsid w:val="00852259"/>
    <w:rsid w:val="00853046"/>
    <w:rsid w:val="00853E58"/>
    <w:rsid w:val="00855E6E"/>
    <w:rsid w:val="0086466B"/>
    <w:rsid w:val="00870E77"/>
    <w:rsid w:val="008714A4"/>
    <w:rsid w:val="00871DFE"/>
    <w:rsid w:val="00875A8C"/>
    <w:rsid w:val="00875F79"/>
    <w:rsid w:val="0087643E"/>
    <w:rsid w:val="00877E6E"/>
    <w:rsid w:val="00880697"/>
    <w:rsid w:val="008846CD"/>
    <w:rsid w:val="00885037"/>
    <w:rsid w:val="0088784A"/>
    <w:rsid w:val="00891D54"/>
    <w:rsid w:val="008A7B99"/>
    <w:rsid w:val="008A7D69"/>
    <w:rsid w:val="008B3526"/>
    <w:rsid w:val="008B43CB"/>
    <w:rsid w:val="008C3C7E"/>
    <w:rsid w:val="008C46A2"/>
    <w:rsid w:val="008C4976"/>
    <w:rsid w:val="008D15D2"/>
    <w:rsid w:val="008D3CF8"/>
    <w:rsid w:val="008D4574"/>
    <w:rsid w:val="008D460D"/>
    <w:rsid w:val="008E04B4"/>
    <w:rsid w:val="008E1922"/>
    <w:rsid w:val="008E2065"/>
    <w:rsid w:val="008E2562"/>
    <w:rsid w:val="008E51AE"/>
    <w:rsid w:val="008F2A5E"/>
    <w:rsid w:val="00900A7D"/>
    <w:rsid w:val="00902F1F"/>
    <w:rsid w:val="0090565B"/>
    <w:rsid w:val="00907EC9"/>
    <w:rsid w:val="0091089F"/>
    <w:rsid w:val="009138A3"/>
    <w:rsid w:val="00914E7C"/>
    <w:rsid w:val="009175B6"/>
    <w:rsid w:val="00920DAD"/>
    <w:rsid w:val="00921349"/>
    <w:rsid w:val="009226D5"/>
    <w:rsid w:val="0092399A"/>
    <w:rsid w:val="00924943"/>
    <w:rsid w:val="00926465"/>
    <w:rsid w:val="00931899"/>
    <w:rsid w:val="009328A2"/>
    <w:rsid w:val="009466E9"/>
    <w:rsid w:val="00952D99"/>
    <w:rsid w:val="0095502B"/>
    <w:rsid w:val="009551C9"/>
    <w:rsid w:val="00961067"/>
    <w:rsid w:val="009663AF"/>
    <w:rsid w:val="009671E8"/>
    <w:rsid w:val="009678D4"/>
    <w:rsid w:val="00970917"/>
    <w:rsid w:val="00973ED0"/>
    <w:rsid w:val="00974DEA"/>
    <w:rsid w:val="00982996"/>
    <w:rsid w:val="00982E00"/>
    <w:rsid w:val="00984141"/>
    <w:rsid w:val="00993224"/>
    <w:rsid w:val="00995111"/>
    <w:rsid w:val="009A3861"/>
    <w:rsid w:val="009A51E8"/>
    <w:rsid w:val="009B18F2"/>
    <w:rsid w:val="009B2C83"/>
    <w:rsid w:val="009B3FAF"/>
    <w:rsid w:val="009C58FA"/>
    <w:rsid w:val="009C686A"/>
    <w:rsid w:val="009C6EC3"/>
    <w:rsid w:val="009D154A"/>
    <w:rsid w:val="009D3390"/>
    <w:rsid w:val="009D4820"/>
    <w:rsid w:val="009D4B4E"/>
    <w:rsid w:val="009E2506"/>
    <w:rsid w:val="009E289C"/>
    <w:rsid w:val="009F423C"/>
    <w:rsid w:val="009F5776"/>
    <w:rsid w:val="00A04BAE"/>
    <w:rsid w:val="00A06D48"/>
    <w:rsid w:val="00A073CA"/>
    <w:rsid w:val="00A16282"/>
    <w:rsid w:val="00A21CB4"/>
    <w:rsid w:val="00A25C1F"/>
    <w:rsid w:val="00A333D9"/>
    <w:rsid w:val="00A40428"/>
    <w:rsid w:val="00A4074B"/>
    <w:rsid w:val="00A61659"/>
    <w:rsid w:val="00A62136"/>
    <w:rsid w:val="00A765A6"/>
    <w:rsid w:val="00A830AC"/>
    <w:rsid w:val="00A833A7"/>
    <w:rsid w:val="00A83797"/>
    <w:rsid w:val="00A844EB"/>
    <w:rsid w:val="00A8596D"/>
    <w:rsid w:val="00A91D8A"/>
    <w:rsid w:val="00A951E5"/>
    <w:rsid w:val="00AA4D68"/>
    <w:rsid w:val="00AB21CF"/>
    <w:rsid w:val="00AC4A18"/>
    <w:rsid w:val="00AD0FF2"/>
    <w:rsid w:val="00AD55F9"/>
    <w:rsid w:val="00AD659B"/>
    <w:rsid w:val="00AE00CA"/>
    <w:rsid w:val="00AE2284"/>
    <w:rsid w:val="00AE5CB7"/>
    <w:rsid w:val="00AE63EA"/>
    <w:rsid w:val="00AE6B19"/>
    <w:rsid w:val="00AE6BBC"/>
    <w:rsid w:val="00AE7B10"/>
    <w:rsid w:val="00AF183C"/>
    <w:rsid w:val="00AF65FF"/>
    <w:rsid w:val="00B00E09"/>
    <w:rsid w:val="00B06635"/>
    <w:rsid w:val="00B07EE9"/>
    <w:rsid w:val="00B12D95"/>
    <w:rsid w:val="00B2147C"/>
    <w:rsid w:val="00B31640"/>
    <w:rsid w:val="00B33054"/>
    <w:rsid w:val="00B37772"/>
    <w:rsid w:val="00B37E6E"/>
    <w:rsid w:val="00B41510"/>
    <w:rsid w:val="00B45E24"/>
    <w:rsid w:val="00B4700B"/>
    <w:rsid w:val="00B52A72"/>
    <w:rsid w:val="00B559B0"/>
    <w:rsid w:val="00B72988"/>
    <w:rsid w:val="00B73D27"/>
    <w:rsid w:val="00B74B9A"/>
    <w:rsid w:val="00B75370"/>
    <w:rsid w:val="00B82B6A"/>
    <w:rsid w:val="00B868F2"/>
    <w:rsid w:val="00B97443"/>
    <w:rsid w:val="00B97746"/>
    <w:rsid w:val="00BA0E65"/>
    <w:rsid w:val="00BA1A45"/>
    <w:rsid w:val="00BA2313"/>
    <w:rsid w:val="00BA2D8A"/>
    <w:rsid w:val="00BB04C9"/>
    <w:rsid w:val="00BB548D"/>
    <w:rsid w:val="00BC0C6A"/>
    <w:rsid w:val="00BC660C"/>
    <w:rsid w:val="00BC7019"/>
    <w:rsid w:val="00BD02FC"/>
    <w:rsid w:val="00BD2429"/>
    <w:rsid w:val="00BD2636"/>
    <w:rsid w:val="00BD4137"/>
    <w:rsid w:val="00BD509C"/>
    <w:rsid w:val="00BD6A7B"/>
    <w:rsid w:val="00BD70E9"/>
    <w:rsid w:val="00BF0FE2"/>
    <w:rsid w:val="00BF1077"/>
    <w:rsid w:val="00BF65E9"/>
    <w:rsid w:val="00BF6689"/>
    <w:rsid w:val="00BF6BAA"/>
    <w:rsid w:val="00BF79CD"/>
    <w:rsid w:val="00C060E9"/>
    <w:rsid w:val="00C064DD"/>
    <w:rsid w:val="00C073CD"/>
    <w:rsid w:val="00C07DDB"/>
    <w:rsid w:val="00C10E80"/>
    <w:rsid w:val="00C11F8A"/>
    <w:rsid w:val="00C12890"/>
    <w:rsid w:val="00C137FB"/>
    <w:rsid w:val="00C14918"/>
    <w:rsid w:val="00C224D4"/>
    <w:rsid w:val="00C256AE"/>
    <w:rsid w:val="00C305DD"/>
    <w:rsid w:val="00C529B6"/>
    <w:rsid w:val="00C53E0F"/>
    <w:rsid w:val="00C54A7D"/>
    <w:rsid w:val="00C55A02"/>
    <w:rsid w:val="00C57249"/>
    <w:rsid w:val="00C6484A"/>
    <w:rsid w:val="00C6532D"/>
    <w:rsid w:val="00C73F03"/>
    <w:rsid w:val="00C74E85"/>
    <w:rsid w:val="00C83A04"/>
    <w:rsid w:val="00C91D4A"/>
    <w:rsid w:val="00C94F10"/>
    <w:rsid w:val="00CA0373"/>
    <w:rsid w:val="00CA352F"/>
    <w:rsid w:val="00CA6580"/>
    <w:rsid w:val="00CB32CF"/>
    <w:rsid w:val="00CB7C37"/>
    <w:rsid w:val="00CC1200"/>
    <w:rsid w:val="00CC1BF5"/>
    <w:rsid w:val="00CD19C2"/>
    <w:rsid w:val="00CD37FF"/>
    <w:rsid w:val="00CD67E6"/>
    <w:rsid w:val="00CD71D1"/>
    <w:rsid w:val="00CE1D83"/>
    <w:rsid w:val="00CE4919"/>
    <w:rsid w:val="00CE51B3"/>
    <w:rsid w:val="00CF640C"/>
    <w:rsid w:val="00D152AC"/>
    <w:rsid w:val="00D2691F"/>
    <w:rsid w:val="00D272D4"/>
    <w:rsid w:val="00D33EEE"/>
    <w:rsid w:val="00D3444E"/>
    <w:rsid w:val="00D3667E"/>
    <w:rsid w:val="00D46907"/>
    <w:rsid w:val="00D538BB"/>
    <w:rsid w:val="00D57746"/>
    <w:rsid w:val="00D60FA4"/>
    <w:rsid w:val="00D67D3D"/>
    <w:rsid w:val="00D70250"/>
    <w:rsid w:val="00D8676F"/>
    <w:rsid w:val="00D87A1F"/>
    <w:rsid w:val="00D96D39"/>
    <w:rsid w:val="00DA5FC5"/>
    <w:rsid w:val="00DB12C5"/>
    <w:rsid w:val="00DB7E18"/>
    <w:rsid w:val="00DC47E6"/>
    <w:rsid w:val="00DC55E6"/>
    <w:rsid w:val="00DC77E1"/>
    <w:rsid w:val="00DD5892"/>
    <w:rsid w:val="00DD62B9"/>
    <w:rsid w:val="00DE606C"/>
    <w:rsid w:val="00DE6D0C"/>
    <w:rsid w:val="00DF2AC4"/>
    <w:rsid w:val="00E0013E"/>
    <w:rsid w:val="00E015E2"/>
    <w:rsid w:val="00E04EC1"/>
    <w:rsid w:val="00E052AC"/>
    <w:rsid w:val="00E17DEC"/>
    <w:rsid w:val="00E25615"/>
    <w:rsid w:val="00E3575F"/>
    <w:rsid w:val="00E3680E"/>
    <w:rsid w:val="00E46B32"/>
    <w:rsid w:val="00E51B03"/>
    <w:rsid w:val="00E55135"/>
    <w:rsid w:val="00E554C0"/>
    <w:rsid w:val="00E57197"/>
    <w:rsid w:val="00E6363F"/>
    <w:rsid w:val="00E668B3"/>
    <w:rsid w:val="00E73989"/>
    <w:rsid w:val="00E7426A"/>
    <w:rsid w:val="00E75DDA"/>
    <w:rsid w:val="00E8170B"/>
    <w:rsid w:val="00E8427E"/>
    <w:rsid w:val="00E97087"/>
    <w:rsid w:val="00E97317"/>
    <w:rsid w:val="00EA4C3C"/>
    <w:rsid w:val="00EB41DF"/>
    <w:rsid w:val="00EB4496"/>
    <w:rsid w:val="00EC0929"/>
    <w:rsid w:val="00EC2ED7"/>
    <w:rsid w:val="00EC5802"/>
    <w:rsid w:val="00ED1823"/>
    <w:rsid w:val="00ED1A99"/>
    <w:rsid w:val="00ED69FA"/>
    <w:rsid w:val="00EE111E"/>
    <w:rsid w:val="00EE60B5"/>
    <w:rsid w:val="00EE643C"/>
    <w:rsid w:val="00EE75BB"/>
    <w:rsid w:val="00EE78A3"/>
    <w:rsid w:val="00EF0145"/>
    <w:rsid w:val="00EF0721"/>
    <w:rsid w:val="00EF2A23"/>
    <w:rsid w:val="00F11608"/>
    <w:rsid w:val="00F1262C"/>
    <w:rsid w:val="00F16BB3"/>
    <w:rsid w:val="00F21B78"/>
    <w:rsid w:val="00F25A98"/>
    <w:rsid w:val="00F4400C"/>
    <w:rsid w:val="00F449AB"/>
    <w:rsid w:val="00F473B4"/>
    <w:rsid w:val="00F52980"/>
    <w:rsid w:val="00F55A11"/>
    <w:rsid w:val="00F56E17"/>
    <w:rsid w:val="00F608FD"/>
    <w:rsid w:val="00F62DD4"/>
    <w:rsid w:val="00F73F27"/>
    <w:rsid w:val="00F74C83"/>
    <w:rsid w:val="00F75975"/>
    <w:rsid w:val="00F816C1"/>
    <w:rsid w:val="00F82AFD"/>
    <w:rsid w:val="00F8460C"/>
    <w:rsid w:val="00F850DD"/>
    <w:rsid w:val="00F87D2F"/>
    <w:rsid w:val="00F94EE4"/>
    <w:rsid w:val="00FA23D6"/>
    <w:rsid w:val="00FA2AB2"/>
    <w:rsid w:val="00FA3EBC"/>
    <w:rsid w:val="00FB5F4C"/>
    <w:rsid w:val="00FC05D2"/>
    <w:rsid w:val="00FC2474"/>
    <w:rsid w:val="00FC2561"/>
    <w:rsid w:val="00FC42BF"/>
    <w:rsid w:val="00FC4B42"/>
    <w:rsid w:val="00FC6525"/>
    <w:rsid w:val="00FE0D60"/>
    <w:rsid w:val="00FE4769"/>
    <w:rsid w:val="00FE7AEE"/>
    <w:rsid w:val="00FF361A"/>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E4F4"/>
  <w15:chartTrackingRefBased/>
  <w15:docId w15:val="{907EAF6D-94B3-F54D-A2E3-C2D93BF1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DB"/>
    <w:rPr>
      <w:rFonts w:ascii="Times New Roman" w:eastAsia="Times New Roman" w:hAnsi="Times New Roman" w:cs="Times New Roman"/>
    </w:rPr>
  </w:style>
  <w:style w:type="paragraph" w:styleId="Heading1">
    <w:name w:val="heading 1"/>
    <w:basedOn w:val="Normal"/>
    <w:next w:val="Normal"/>
    <w:link w:val="Heading1Char"/>
    <w:uiPriority w:val="9"/>
    <w:qFormat/>
    <w:rsid w:val="0030323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3032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32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032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23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3032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323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0323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0323A"/>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0323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0323A"/>
    <w:rPr>
      <w:sz w:val="20"/>
      <w:szCs w:val="20"/>
    </w:rPr>
  </w:style>
  <w:style w:type="character" w:styleId="FootnoteReference">
    <w:name w:val="footnote reference"/>
    <w:basedOn w:val="DefaultParagraphFont"/>
    <w:uiPriority w:val="99"/>
    <w:semiHidden/>
    <w:unhideWhenUsed/>
    <w:rsid w:val="0030323A"/>
    <w:rPr>
      <w:vertAlign w:val="superscript"/>
    </w:rPr>
  </w:style>
  <w:style w:type="character" w:styleId="CommentReference">
    <w:name w:val="annotation reference"/>
    <w:basedOn w:val="DefaultParagraphFont"/>
    <w:uiPriority w:val="99"/>
    <w:semiHidden/>
    <w:unhideWhenUsed/>
    <w:rsid w:val="0030323A"/>
    <w:rPr>
      <w:sz w:val="16"/>
      <w:szCs w:val="16"/>
    </w:rPr>
  </w:style>
  <w:style w:type="paragraph" w:styleId="CommentText">
    <w:name w:val="annotation text"/>
    <w:basedOn w:val="Normal"/>
    <w:link w:val="CommentTextChar"/>
    <w:uiPriority w:val="99"/>
    <w:semiHidden/>
    <w:unhideWhenUsed/>
    <w:rsid w:val="0030323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0323A"/>
    <w:rPr>
      <w:sz w:val="20"/>
      <w:szCs w:val="20"/>
    </w:rPr>
  </w:style>
  <w:style w:type="paragraph" w:styleId="CommentSubject">
    <w:name w:val="annotation subject"/>
    <w:basedOn w:val="CommentText"/>
    <w:next w:val="CommentText"/>
    <w:link w:val="CommentSubjectChar"/>
    <w:uiPriority w:val="99"/>
    <w:semiHidden/>
    <w:unhideWhenUsed/>
    <w:rsid w:val="0030323A"/>
    <w:rPr>
      <w:b/>
      <w:bCs/>
    </w:rPr>
  </w:style>
  <w:style w:type="character" w:customStyle="1" w:styleId="CommentSubjectChar">
    <w:name w:val="Comment Subject Char"/>
    <w:basedOn w:val="CommentTextChar"/>
    <w:link w:val="CommentSubject"/>
    <w:uiPriority w:val="99"/>
    <w:semiHidden/>
    <w:rsid w:val="0030323A"/>
    <w:rPr>
      <w:b/>
      <w:bCs/>
      <w:sz w:val="20"/>
      <w:szCs w:val="20"/>
    </w:rPr>
  </w:style>
  <w:style w:type="paragraph" w:styleId="Header">
    <w:name w:val="header"/>
    <w:basedOn w:val="Normal"/>
    <w:link w:val="HeaderChar"/>
    <w:uiPriority w:val="99"/>
    <w:unhideWhenUsed/>
    <w:rsid w:val="0030323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0323A"/>
  </w:style>
  <w:style w:type="paragraph" w:styleId="Footer">
    <w:name w:val="footer"/>
    <w:basedOn w:val="Normal"/>
    <w:link w:val="FooterChar"/>
    <w:uiPriority w:val="99"/>
    <w:unhideWhenUsed/>
    <w:rsid w:val="003032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0323A"/>
  </w:style>
  <w:style w:type="paragraph" w:styleId="Bibliography">
    <w:name w:val="Bibliography"/>
    <w:basedOn w:val="Normal"/>
    <w:next w:val="Normal"/>
    <w:uiPriority w:val="37"/>
    <w:unhideWhenUsed/>
    <w:rsid w:val="0030323A"/>
    <w:rPr>
      <w:rFonts w:asciiTheme="minorHAnsi" w:eastAsiaTheme="minorHAnsi" w:hAnsiTheme="minorHAnsi" w:cstheme="minorBidi"/>
    </w:rPr>
  </w:style>
  <w:style w:type="character" w:styleId="PageNumber">
    <w:name w:val="page number"/>
    <w:basedOn w:val="DefaultParagraphFont"/>
    <w:uiPriority w:val="99"/>
    <w:semiHidden/>
    <w:unhideWhenUsed/>
    <w:rsid w:val="0030323A"/>
  </w:style>
  <w:style w:type="character" w:styleId="Hyperlink">
    <w:name w:val="Hyperlink"/>
    <w:basedOn w:val="DefaultParagraphFont"/>
    <w:uiPriority w:val="99"/>
    <w:unhideWhenUsed/>
    <w:rsid w:val="0030323A"/>
    <w:rPr>
      <w:color w:val="0563C1" w:themeColor="hyperlink"/>
      <w:u w:val="single"/>
    </w:rPr>
  </w:style>
  <w:style w:type="character" w:styleId="UnresolvedMention">
    <w:name w:val="Unresolved Mention"/>
    <w:basedOn w:val="DefaultParagraphFont"/>
    <w:uiPriority w:val="99"/>
    <w:semiHidden/>
    <w:unhideWhenUsed/>
    <w:rsid w:val="0030323A"/>
    <w:rPr>
      <w:color w:val="605E5C"/>
      <w:shd w:val="clear" w:color="auto" w:fill="E1DFDD"/>
    </w:rPr>
  </w:style>
  <w:style w:type="character" w:styleId="FollowedHyperlink">
    <w:name w:val="FollowedHyperlink"/>
    <w:basedOn w:val="DefaultParagraphFont"/>
    <w:uiPriority w:val="99"/>
    <w:semiHidden/>
    <w:unhideWhenUsed/>
    <w:rsid w:val="0030323A"/>
    <w:rPr>
      <w:color w:val="954F72" w:themeColor="followedHyperlink"/>
      <w:u w:val="single"/>
    </w:rPr>
  </w:style>
  <w:style w:type="character" w:customStyle="1" w:styleId="apple-converted-space">
    <w:name w:val="apple-converted-space"/>
    <w:basedOn w:val="DefaultParagraphFont"/>
    <w:rsid w:val="0030323A"/>
  </w:style>
  <w:style w:type="paragraph" w:styleId="TOCHeading">
    <w:name w:val="TOC Heading"/>
    <w:basedOn w:val="Heading1"/>
    <w:next w:val="Normal"/>
    <w:uiPriority w:val="39"/>
    <w:unhideWhenUsed/>
    <w:qFormat/>
    <w:rsid w:val="0030323A"/>
    <w:pPr>
      <w:outlineLvl w:val="9"/>
    </w:pPr>
    <w:rPr>
      <w:lang w:bidi="ar-SA"/>
    </w:rPr>
  </w:style>
  <w:style w:type="paragraph" w:styleId="TOC1">
    <w:name w:val="toc 1"/>
    <w:basedOn w:val="Normal"/>
    <w:next w:val="Normal"/>
    <w:autoRedefine/>
    <w:uiPriority w:val="39"/>
    <w:unhideWhenUsed/>
    <w:rsid w:val="0030323A"/>
    <w:pPr>
      <w:spacing w:before="120" w:after="120"/>
    </w:pPr>
    <w:rPr>
      <w:rFonts w:asciiTheme="minorHAnsi" w:eastAsiaTheme="minorHAnsi" w:hAnsiTheme="minorHAnsi" w:cstheme="minorBidi"/>
      <w:b/>
      <w:bCs/>
      <w:caps/>
      <w:sz w:val="20"/>
      <w:szCs w:val="20"/>
    </w:rPr>
  </w:style>
  <w:style w:type="paragraph" w:styleId="TOC2">
    <w:name w:val="toc 2"/>
    <w:basedOn w:val="Normal"/>
    <w:next w:val="Normal"/>
    <w:autoRedefine/>
    <w:uiPriority w:val="39"/>
    <w:unhideWhenUsed/>
    <w:rsid w:val="0030323A"/>
    <w:pPr>
      <w:ind w:left="240"/>
    </w:pPr>
    <w:rPr>
      <w:rFonts w:asciiTheme="minorHAnsi" w:eastAsiaTheme="minorHAnsi" w:hAnsiTheme="minorHAnsi" w:cstheme="minorBidi"/>
      <w:smallCaps/>
      <w:sz w:val="20"/>
      <w:szCs w:val="20"/>
    </w:rPr>
  </w:style>
  <w:style w:type="paragraph" w:styleId="TOC3">
    <w:name w:val="toc 3"/>
    <w:basedOn w:val="Normal"/>
    <w:next w:val="Normal"/>
    <w:autoRedefine/>
    <w:uiPriority w:val="39"/>
    <w:unhideWhenUsed/>
    <w:rsid w:val="0030323A"/>
    <w:pPr>
      <w:ind w:left="480"/>
    </w:pPr>
    <w:rPr>
      <w:rFonts w:asciiTheme="minorHAnsi" w:eastAsiaTheme="minorHAnsi" w:hAnsiTheme="minorHAnsi" w:cstheme="minorBidi"/>
      <w:i/>
      <w:iCs/>
      <w:sz w:val="20"/>
      <w:szCs w:val="20"/>
    </w:rPr>
  </w:style>
  <w:style w:type="paragraph" w:styleId="TOC4">
    <w:name w:val="toc 4"/>
    <w:basedOn w:val="Normal"/>
    <w:next w:val="Normal"/>
    <w:autoRedefine/>
    <w:uiPriority w:val="39"/>
    <w:unhideWhenUsed/>
    <w:rsid w:val="0030323A"/>
    <w:pPr>
      <w:ind w:left="72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30323A"/>
    <w:pPr>
      <w:ind w:left="960"/>
    </w:pPr>
    <w:rPr>
      <w:rFonts w:asciiTheme="minorHAnsi" w:eastAsiaTheme="minorHAnsi" w:hAnsiTheme="minorHAnsi" w:cstheme="minorBidi"/>
      <w:sz w:val="18"/>
      <w:szCs w:val="18"/>
    </w:rPr>
  </w:style>
  <w:style w:type="paragraph" w:styleId="TOC6">
    <w:name w:val="toc 6"/>
    <w:basedOn w:val="Normal"/>
    <w:next w:val="Normal"/>
    <w:autoRedefine/>
    <w:uiPriority w:val="39"/>
    <w:unhideWhenUsed/>
    <w:rsid w:val="0030323A"/>
    <w:pPr>
      <w:ind w:left="120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30323A"/>
    <w:pPr>
      <w:ind w:left="144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30323A"/>
    <w:pPr>
      <w:ind w:left="168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30323A"/>
    <w:pPr>
      <w:ind w:left="1920"/>
    </w:pPr>
    <w:rPr>
      <w:rFonts w:asciiTheme="minorHAnsi" w:eastAsiaTheme="minorHAnsi" w:hAnsiTheme="minorHAnsi" w:cstheme="minorBidi"/>
      <w:sz w:val="18"/>
      <w:szCs w:val="18"/>
    </w:rPr>
  </w:style>
  <w:style w:type="paragraph" w:styleId="NormalWeb">
    <w:name w:val="Normal (Web)"/>
    <w:basedOn w:val="Normal"/>
    <w:uiPriority w:val="99"/>
    <w:semiHidden/>
    <w:unhideWhenUsed/>
    <w:rsid w:val="001D3D87"/>
    <w:rPr>
      <w:rFonts w:eastAsiaTheme="minorHAnsi"/>
    </w:rPr>
  </w:style>
  <w:style w:type="paragraph" w:styleId="Revision">
    <w:name w:val="Revision"/>
    <w:hidden/>
    <w:uiPriority w:val="99"/>
    <w:semiHidden/>
    <w:rsid w:val="007C05CD"/>
  </w:style>
  <w:style w:type="character" w:styleId="HTMLCite">
    <w:name w:val="HTML Cite"/>
    <w:basedOn w:val="DefaultParagraphFont"/>
    <w:uiPriority w:val="99"/>
    <w:semiHidden/>
    <w:unhideWhenUsed/>
    <w:rsid w:val="00282FDB"/>
    <w:rPr>
      <w:i/>
      <w:iCs/>
    </w:rPr>
  </w:style>
  <w:style w:type="paragraph" w:customStyle="1" w:styleId="info">
    <w:name w:val="info"/>
    <w:basedOn w:val="Normal"/>
    <w:rsid w:val="00282F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785">
      <w:bodyDiv w:val="1"/>
      <w:marLeft w:val="0"/>
      <w:marRight w:val="0"/>
      <w:marTop w:val="0"/>
      <w:marBottom w:val="0"/>
      <w:divBdr>
        <w:top w:val="none" w:sz="0" w:space="0" w:color="auto"/>
        <w:left w:val="none" w:sz="0" w:space="0" w:color="auto"/>
        <w:bottom w:val="none" w:sz="0" w:space="0" w:color="auto"/>
        <w:right w:val="none" w:sz="0" w:space="0" w:color="auto"/>
      </w:divBdr>
    </w:div>
    <w:div w:id="14308451">
      <w:bodyDiv w:val="1"/>
      <w:marLeft w:val="0"/>
      <w:marRight w:val="0"/>
      <w:marTop w:val="0"/>
      <w:marBottom w:val="0"/>
      <w:divBdr>
        <w:top w:val="none" w:sz="0" w:space="0" w:color="auto"/>
        <w:left w:val="none" w:sz="0" w:space="0" w:color="auto"/>
        <w:bottom w:val="none" w:sz="0" w:space="0" w:color="auto"/>
        <w:right w:val="none" w:sz="0" w:space="0" w:color="auto"/>
      </w:divBdr>
    </w:div>
    <w:div w:id="16929658">
      <w:bodyDiv w:val="1"/>
      <w:marLeft w:val="0"/>
      <w:marRight w:val="0"/>
      <w:marTop w:val="0"/>
      <w:marBottom w:val="0"/>
      <w:divBdr>
        <w:top w:val="none" w:sz="0" w:space="0" w:color="auto"/>
        <w:left w:val="none" w:sz="0" w:space="0" w:color="auto"/>
        <w:bottom w:val="none" w:sz="0" w:space="0" w:color="auto"/>
        <w:right w:val="none" w:sz="0" w:space="0" w:color="auto"/>
      </w:divBdr>
    </w:div>
    <w:div w:id="18043599">
      <w:bodyDiv w:val="1"/>
      <w:marLeft w:val="0"/>
      <w:marRight w:val="0"/>
      <w:marTop w:val="0"/>
      <w:marBottom w:val="0"/>
      <w:divBdr>
        <w:top w:val="none" w:sz="0" w:space="0" w:color="auto"/>
        <w:left w:val="none" w:sz="0" w:space="0" w:color="auto"/>
        <w:bottom w:val="none" w:sz="0" w:space="0" w:color="auto"/>
        <w:right w:val="none" w:sz="0" w:space="0" w:color="auto"/>
      </w:divBdr>
    </w:div>
    <w:div w:id="26570818">
      <w:bodyDiv w:val="1"/>
      <w:marLeft w:val="0"/>
      <w:marRight w:val="0"/>
      <w:marTop w:val="0"/>
      <w:marBottom w:val="0"/>
      <w:divBdr>
        <w:top w:val="none" w:sz="0" w:space="0" w:color="auto"/>
        <w:left w:val="none" w:sz="0" w:space="0" w:color="auto"/>
        <w:bottom w:val="none" w:sz="0" w:space="0" w:color="auto"/>
        <w:right w:val="none" w:sz="0" w:space="0" w:color="auto"/>
      </w:divBdr>
    </w:div>
    <w:div w:id="37555960">
      <w:bodyDiv w:val="1"/>
      <w:marLeft w:val="0"/>
      <w:marRight w:val="0"/>
      <w:marTop w:val="0"/>
      <w:marBottom w:val="0"/>
      <w:divBdr>
        <w:top w:val="none" w:sz="0" w:space="0" w:color="auto"/>
        <w:left w:val="none" w:sz="0" w:space="0" w:color="auto"/>
        <w:bottom w:val="none" w:sz="0" w:space="0" w:color="auto"/>
        <w:right w:val="none" w:sz="0" w:space="0" w:color="auto"/>
      </w:divBdr>
    </w:div>
    <w:div w:id="37971830">
      <w:bodyDiv w:val="1"/>
      <w:marLeft w:val="0"/>
      <w:marRight w:val="0"/>
      <w:marTop w:val="0"/>
      <w:marBottom w:val="0"/>
      <w:divBdr>
        <w:top w:val="none" w:sz="0" w:space="0" w:color="auto"/>
        <w:left w:val="none" w:sz="0" w:space="0" w:color="auto"/>
        <w:bottom w:val="none" w:sz="0" w:space="0" w:color="auto"/>
        <w:right w:val="none" w:sz="0" w:space="0" w:color="auto"/>
      </w:divBdr>
    </w:div>
    <w:div w:id="54209665">
      <w:bodyDiv w:val="1"/>
      <w:marLeft w:val="0"/>
      <w:marRight w:val="0"/>
      <w:marTop w:val="0"/>
      <w:marBottom w:val="0"/>
      <w:divBdr>
        <w:top w:val="none" w:sz="0" w:space="0" w:color="auto"/>
        <w:left w:val="none" w:sz="0" w:space="0" w:color="auto"/>
        <w:bottom w:val="none" w:sz="0" w:space="0" w:color="auto"/>
        <w:right w:val="none" w:sz="0" w:space="0" w:color="auto"/>
      </w:divBdr>
    </w:div>
    <w:div w:id="56366364">
      <w:bodyDiv w:val="1"/>
      <w:marLeft w:val="0"/>
      <w:marRight w:val="0"/>
      <w:marTop w:val="0"/>
      <w:marBottom w:val="0"/>
      <w:divBdr>
        <w:top w:val="none" w:sz="0" w:space="0" w:color="auto"/>
        <w:left w:val="none" w:sz="0" w:space="0" w:color="auto"/>
        <w:bottom w:val="none" w:sz="0" w:space="0" w:color="auto"/>
        <w:right w:val="none" w:sz="0" w:space="0" w:color="auto"/>
      </w:divBdr>
    </w:div>
    <w:div w:id="63257994">
      <w:bodyDiv w:val="1"/>
      <w:marLeft w:val="0"/>
      <w:marRight w:val="0"/>
      <w:marTop w:val="0"/>
      <w:marBottom w:val="0"/>
      <w:divBdr>
        <w:top w:val="none" w:sz="0" w:space="0" w:color="auto"/>
        <w:left w:val="none" w:sz="0" w:space="0" w:color="auto"/>
        <w:bottom w:val="none" w:sz="0" w:space="0" w:color="auto"/>
        <w:right w:val="none" w:sz="0" w:space="0" w:color="auto"/>
      </w:divBdr>
    </w:div>
    <w:div w:id="71974545">
      <w:bodyDiv w:val="1"/>
      <w:marLeft w:val="0"/>
      <w:marRight w:val="0"/>
      <w:marTop w:val="0"/>
      <w:marBottom w:val="0"/>
      <w:divBdr>
        <w:top w:val="none" w:sz="0" w:space="0" w:color="auto"/>
        <w:left w:val="none" w:sz="0" w:space="0" w:color="auto"/>
        <w:bottom w:val="none" w:sz="0" w:space="0" w:color="auto"/>
        <w:right w:val="none" w:sz="0" w:space="0" w:color="auto"/>
      </w:divBdr>
    </w:div>
    <w:div w:id="74666507">
      <w:bodyDiv w:val="1"/>
      <w:marLeft w:val="0"/>
      <w:marRight w:val="0"/>
      <w:marTop w:val="0"/>
      <w:marBottom w:val="0"/>
      <w:divBdr>
        <w:top w:val="none" w:sz="0" w:space="0" w:color="auto"/>
        <w:left w:val="none" w:sz="0" w:space="0" w:color="auto"/>
        <w:bottom w:val="none" w:sz="0" w:space="0" w:color="auto"/>
        <w:right w:val="none" w:sz="0" w:space="0" w:color="auto"/>
      </w:divBdr>
    </w:div>
    <w:div w:id="79178374">
      <w:bodyDiv w:val="1"/>
      <w:marLeft w:val="0"/>
      <w:marRight w:val="0"/>
      <w:marTop w:val="0"/>
      <w:marBottom w:val="0"/>
      <w:divBdr>
        <w:top w:val="none" w:sz="0" w:space="0" w:color="auto"/>
        <w:left w:val="none" w:sz="0" w:space="0" w:color="auto"/>
        <w:bottom w:val="none" w:sz="0" w:space="0" w:color="auto"/>
        <w:right w:val="none" w:sz="0" w:space="0" w:color="auto"/>
      </w:divBdr>
    </w:div>
    <w:div w:id="92556723">
      <w:bodyDiv w:val="1"/>
      <w:marLeft w:val="0"/>
      <w:marRight w:val="0"/>
      <w:marTop w:val="0"/>
      <w:marBottom w:val="0"/>
      <w:divBdr>
        <w:top w:val="none" w:sz="0" w:space="0" w:color="auto"/>
        <w:left w:val="none" w:sz="0" w:space="0" w:color="auto"/>
        <w:bottom w:val="none" w:sz="0" w:space="0" w:color="auto"/>
        <w:right w:val="none" w:sz="0" w:space="0" w:color="auto"/>
      </w:divBdr>
    </w:div>
    <w:div w:id="95834963">
      <w:bodyDiv w:val="1"/>
      <w:marLeft w:val="0"/>
      <w:marRight w:val="0"/>
      <w:marTop w:val="0"/>
      <w:marBottom w:val="0"/>
      <w:divBdr>
        <w:top w:val="none" w:sz="0" w:space="0" w:color="auto"/>
        <w:left w:val="none" w:sz="0" w:space="0" w:color="auto"/>
        <w:bottom w:val="none" w:sz="0" w:space="0" w:color="auto"/>
        <w:right w:val="none" w:sz="0" w:space="0" w:color="auto"/>
      </w:divBdr>
    </w:div>
    <w:div w:id="121003317">
      <w:bodyDiv w:val="1"/>
      <w:marLeft w:val="0"/>
      <w:marRight w:val="0"/>
      <w:marTop w:val="0"/>
      <w:marBottom w:val="0"/>
      <w:divBdr>
        <w:top w:val="none" w:sz="0" w:space="0" w:color="auto"/>
        <w:left w:val="none" w:sz="0" w:space="0" w:color="auto"/>
        <w:bottom w:val="none" w:sz="0" w:space="0" w:color="auto"/>
        <w:right w:val="none" w:sz="0" w:space="0" w:color="auto"/>
      </w:divBdr>
    </w:div>
    <w:div w:id="126288581">
      <w:bodyDiv w:val="1"/>
      <w:marLeft w:val="0"/>
      <w:marRight w:val="0"/>
      <w:marTop w:val="0"/>
      <w:marBottom w:val="0"/>
      <w:divBdr>
        <w:top w:val="none" w:sz="0" w:space="0" w:color="auto"/>
        <w:left w:val="none" w:sz="0" w:space="0" w:color="auto"/>
        <w:bottom w:val="none" w:sz="0" w:space="0" w:color="auto"/>
        <w:right w:val="none" w:sz="0" w:space="0" w:color="auto"/>
      </w:divBdr>
    </w:div>
    <w:div w:id="127743416">
      <w:bodyDiv w:val="1"/>
      <w:marLeft w:val="0"/>
      <w:marRight w:val="0"/>
      <w:marTop w:val="0"/>
      <w:marBottom w:val="0"/>
      <w:divBdr>
        <w:top w:val="none" w:sz="0" w:space="0" w:color="auto"/>
        <w:left w:val="none" w:sz="0" w:space="0" w:color="auto"/>
        <w:bottom w:val="none" w:sz="0" w:space="0" w:color="auto"/>
        <w:right w:val="none" w:sz="0" w:space="0" w:color="auto"/>
      </w:divBdr>
      <w:divsChild>
        <w:div w:id="1207598162">
          <w:marLeft w:val="0"/>
          <w:marRight w:val="0"/>
          <w:marTop w:val="0"/>
          <w:marBottom w:val="0"/>
          <w:divBdr>
            <w:top w:val="none" w:sz="0" w:space="0" w:color="auto"/>
            <w:left w:val="none" w:sz="0" w:space="0" w:color="auto"/>
            <w:bottom w:val="none" w:sz="0" w:space="0" w:color="auto"/>
            <w:right w:val="none" w:sz="0" w:space="0" w:color="auto"/>
          </w:divBdr>
          <w:divsChild>
            <w:div w:id="1908225807">
              <w:marLeft w:val="0"/>
              <w:marRight w:val="0"/>
              <w:marTop w:val="0"/>
              <w:marBottom w:val="0"/>
              <w:divBdr>
                <w:top w:val="none" w:sz="0" w:space="0" w:color="auto"/>
                <w:left w:val="none" w:sz="0" w:space="0" w:color="auto"/>
                <w:bottom w:val="none" w:sz="0" w:space="0" w:color="auto"/>
                <w:right w:val="none" w:sz="0" w:space="0" w:color="auto"/>
              </w:divBdr>
              <w:divsChild>
                <w:div w:id="386226569">
                  <w:marLeft w:val="0"/>
                  <w:marRight w:val="0"/>
                  <w:marTop w:val="0"/>
                  <w:marBottom w:val="0"/>
                  <w:divBdr>
                    <w:top w:val="none" w:sz="0" w:space="0" w:color="auto"/>
                    <w:left w:val="none" w:sz="0" w:space="0" w:color="auto"/>
                    <w:bottom w:val="none" w:sz="0" w:space="0" w:color="auto"/>
                    <w:right w:val="none" w:sz="0" w:space="0" w:color="auto"/>
                  </w:divBdr>
                  <w:divsChild>
                    <w:div w:id="11956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602">
      <w:bodyDiv w:val="1"/>
      <w:marLeft w:val="0"/>
      <w:marRight w:val="0"/>
      <w:marTop w:val="0"/>
      <w:marBottom w:val="0"/>
      <w:divBdr>
        <w:top w:val="none" w:sz="0" w:space="0" w:color="auto"/>
        <w:left w:val="none" w:sz="0" w:space="0" w:color="auto"/>
        <w:bottom w:val="none" w:sz="0" w:space="0" w:color="auto"/>
        <w:right w:val="none" w:sz="0" w:space="0" w:color="auto"/>
      </w:divBdr>
    </w:div>
    <w:div w:id="148521040">
      <w:bodyDiv w:val="1"/>
      <w:marLeft w:val="0"/>
      <w:marRight w:val="0"/>
      <w:marTop w:val="0"/>
      <w:marBottom w:val="0"/>
      <w:divBdr>
        <w:top w:val="none" w:sz="0" w:space="0" w:color="auto"/>
        <w:left w:val="none" w:sz="0" w:space="0" w:color="auto"/>
        <w:bottom w:val="none" w:sz="0" w:space="0" w:color="auto"/>
        <w:right w:val="none" w:sz="0" w:space="0" w:color="auto"/>
      </w:divBdr>
    </w:div>
    <w:div w:id="163277739">
      <w:bodyDiv w:val="1"/>
      <w:marLeft w:val="0"/>
      <w:marRight w:val="0"/>
      <w:marTop w:val="0"/>
      <w:marBottom w:val="0"/>
      <w:divBdr>
        <w:top w:val="none" w:sz="0" w:space="0" w:color="auto"/>
        <w:left w:val="none" w:sz="0" w:space="0" w:color="auto"/>
        <w:bottom w:val="none" w:sz="0" w:space="0" w:color="auto"/>
        <w:right w:val="none" w:sz="0" w:space="0" w:color="auto"/>
      </w:divBdr>
      <w:divsChild>
        <w:div w:id="1748309547">
          <w:marLeft w:val="0"/>
          <w:marRight w:val="0"/>
          <w:marTop w:val="0"/>
          <w:marBottom w:val="0"/>
          <w:divBdr>
            <w:top w:val="none" w:sz="0" w:space="0" w:color="auto"/>
            <w:left w:val="none" w:sz="0" w:space="0" w:color="auto"/>
            <w:bottom w:val="none" w:sz="0" w:space="0" w:color="auto"/>
            <w:right w:val="none" w:sz="0" w:space="0" w:color="auto"/>
          </w:divBdr>
          <w:divsChild>
            <w:div w:id="1930851969">
              <w:marLeft w:val="0"/>
              <w:marRight w:val="0"/>
              <w:marTop w:val="0"/>
              <w:marBottom w:val="0"/>
              <w:divBdr>
                <w:top w:val="none" w:sz="0" w:space="0" w:color="auto"/>
                <w:left w:val="none" w:sz="0" w:space="0" w:color="auto"/>
                <w:bottom w:val="none" w:sz="0" w:space="0" w:color="auto"/>
                <w:right w:val="none" w:sz="0" w:space="0" w:color="auto"/>
              </w:divBdr>
              <w:divsChild>
                <w:div w:id="343240731">
                  <w:marLeft w:val="0"/>
                  <w:marRight w:val="0"/>
                  <w:marTop w:val="0"/>
                  <w:marBottom w:val="0"/>
                  <w:divBdr>
                    <w:top w:val="none" w:sz="0" w:space="0" w:color="auto"/>
                    <w:left w:val="none" w:sz="0" w:space="0" w:color="auto"/>
                    <w:bottom w:val="none" w:sz="0" w:space="0" w:color="auto"/>
                    <w:right w:val="none" w:sz="0" w:space="0" w:color="auto"/>
                  </w:divBdr>
                  <w:divsChild>
                    <w:div w:id="11839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9374">
      <w:bodyDiv w:val="1"/>
      <w:marLeft w:val="0"/>
      <w:marRight w:val="0"/>
      <w:marTop w:val="0"/>
      <w:marBottom w:val="0"/>
      <w:divBdr>
        <w:top w:val="none" w:sz="0" w:space="0" w:color="auto"/>
        <w:left w:val="none" w:sz="0" w:space="0" w:color="auto"/>
        <w:bottom w:val="none" w:sz="0" w:space="0" w:color="auto"/>
        <w:right w:val="none" w:sz="0" w:space="0" w:color="auto"/>
      </w:divBdr>
    </w:div>
    <w:div w:id="176967260">
      <w:bodyDiv w:val="1"/>
      <w:marLeft w:val="0"/>
      <w:marRight w:val="0"/>
      <w:marTop w:val="0"/>
      <w:marBottom w:val="0"/>
      <w:divBdr>
        <w:top w:val="none" w:sz="0" w:space="0" w:color="auto"/>
        <w:left w:val="none" w:sz="0" w:space="0" w:color="auto"/>
        <w:bottom w:val="none" w:sz="0" w:space="0" w:color="auto"/>
        <w:right w:val="none" w:sz="0" w:space="0" w:color="auto"/>
      </w:divBdr>
    </w:div>
    <w:div w:id="195120358">
      <w:bodyDiv w:val="1"/>
      <w:marLeft w:val="0"/>
      <w:marRight w:val="0"/>
      <w:marTop w:val="0"/>
      <w:marBottom w:val="0"/>
      <w:divBdr>
        <w:top w:val="none" w:sz="0" w:space="0" w:color="auto"/>
        <w:left w:val="none" w:sz="0" w:space="0" w:color="auto"/>
        <w:bottom w:val="none" w:sz="0" w:space="0" w:color="auto"/>
        <w:right w:val="none" w:sz="0" w:space="0" w:color="auto"/>
      </w:divBdr>
    </w:div>
    <w:div w:id="202788777">
      <w:bodyDiv w:val="1"/>
      <w:marLeft w:val="0"/>
      <w:marRight w:val="0"/>
      <w:marTop w:val="0"/>
      <w:marBottom w:val="0"/>
      <w:divBdr>
        <w:top w:val="none" w:sz="0" w:space="0" w:color="auto"/>
        <w:left w:val="none" w:sz="0" w:space="0" w:color="auto"/>
        <w:bottom w:val="none" w:sz="0" w:space="0" w:color="auto"/>
        <w:right w:val="none" w:sz="0" w:space="0" w:color="auto"/>
      </w:divBdr>
    </w:div>
    <w:div w:id="217404867">
      <w:bodyDiv w:val="1"/>
      <w:marLeft w:val="0"/>
      <w:marRight w:val="0"/>
      <w:marTop w:val="0"/>
      <w:marBottom w:val="0"/>
      <w:divBdr>
        <w:top w:val="none" w:sz="0" w:space="0" w:color="auto"/>
        <w:left w:val="none" w:sz="0" w:space="0" w:color="auto"/>
        <w:bottom w:val="none" w:sz="0" w:space="0" w:color="auto"/>
        <w:right w:val="none" w:sz="0" w:space="0" w:color="auto"/>
      </w:divBdr>
    </w:div>
    <w:div w:id="240482356">
      <w:bodyDiv w:val="1"/>
      <w:marLeft w:val="0"/>
      <w:marRight w:val="0"/>
      <w:marTop w:val="0"/>
      <w:marBottom w:val="0"/>
      <w:divBdr>
        <w:top w:val="none" w:sz="0" w:space="0" w:color="auto"/>
        <w:left w:val="none" w:sz="0" w:space="0" w:color="auto"/>
        <w:bottom w:val="none" w:sz="0" w:space="0" w:color="auto"/>
        <w:right w:val="none" w:sz="0" w:space="0" w:color="auto"/>
      </w:divBdr>
    </w:div>
    <w:div w:id="255094650">
      <w:bodyDiv w:val="1"/>
      <w:marLeft w:val="0"/>
      <w:marRight w:val="0"/>
      <w:marTop w:val="0"/>
      <w:marBottom w:val="0"/>
      <w:divBdr>
        <w:top w:val="none" w:sz="0" w:space="0" w:color="auto"/>
        <w:left w:val="none" w:sz="0" w:space="0" w:color="auto"/>
        <w:bottom w:val="none" w:sz="0" w:space="0" w:color="auto"/>
        <w:right w:val="none" w:sz="0" w:space="0" w:color="auto"/>
      </w:divBdr>
    </w:div>
    <w:div w:id="271860344">
      <w:bodyDiv w:val="1"/>
      <w:marLeft w:val="0"/>
      <w:marRight w:val="0"/>
      <w:marTop w:val="0"/>
      <w:marBottom w:val="0"/>
      <w:divBdr>
        <w:top w:val="none" w:sz="0" w:space="0" w:color="auto"/>
        <w:left w:val="none" w:sz="0" w:space="0" w:color="auto"/>
        <w:bottom w:val="none" w:sz="0" w:space="0" w:color="auto"/>
        <w:right w:val="none" w:sz="0" w:space="0" w:color="auto"/>
      </w:divBdr>
    </w:div>
    <w:div w:id="272326580">
      <w:bodyDiv w:val="1"/>
      <w:marLeft w:val="0"/>
      <w:marRight w:val="0"/>
      <w:marTop w:val="0"/>
      <w:marBottom w:val="0"/>
      <w:divBdr>
        <w:top w:val="none" w:sz="0" w:space="0" w:color="auto"/>
        <w:left w:val="none" w:sz="0" w:space="0" w:color="auto"/>
        <w:bottom w:val="none" w:sz="0" w:space="0" w:color="auto"/>
        <w:right w:val="none" w:sz="0" w:space="0" w:color="auto"/>
      </w:divBdr>
    </w:div>
    <w:div w:id="287207652">
      <w:bodyDiv w:val="1"/>
      <w:marLeft w:val="0"/>
      <w:marRight w:val="0"/>
      <w:marTop w:val="0"/>
      <w:marBottom w:val="0"/>
      <w:divBdr>
        <w:top w:val="none" w:sz="0" w:space="0" w:color="auto"/>
        <w:left w:val="none" w:sz="0" w:space="0" w:color="auto"/>
        <w:bottom w:val="none" w:sz="0" w:space="0" w:color="auto"/>
        <w:right w:val="none" w:sz="0" w:space="0" w:color="auto"/>
      </w:divBdr>
    </w:div>
    <w:div w:id="310522639">
      <w:bodyDiv w:val="1"/>
      <w:marLeft w:val="0"/>
      <w:marRight w:val="0"/>
      <w:marTop w:val="0"/>
      <w:marBottom w:val="0"/>
      <w:divBdr>
        <w:top w:val="none" w:sz="0" w:space="0" w:color="auto"/>
        <w:left w:val="none" w:sz="0" w:space="0" w:color="auto"/>
        <w:bottom w:val="none" w:sz="0" w:space="0" w:color="auto"/>
        <w:right w:val="none" w:sz="0" w:space="0" w:color="auto"/>
      </w:divBdr>
    </w:div>
    <w:div w:id="335112442">
      <w:bodyDiv w:val="1"/>
      <w:marLeft w:val="0"/>
      <w:marRight w:val="0"/>
      <w:marTop w:val="0"/>
      <w:marBottom w:val="0"/>
      <w:divBdr>
        <w:top w:val="none" w:sz="0" w:space="0" w:color="auto"/>
        <w:left w:val="none" w:sz="0" w:space="0" w:color="auto"/>
        <w:bottom w:val="none" w:sz="0" w:space="0" w:color="auto"/>
        <w:right w:val="none" w:sz="0" w:space="0" w:color="auto"/>
      </w:divBdr>
    </w:div>
    <w:div w:id="347486699">
      <w:bodyDiv w:val="1"/>
      <w:marLeft w:val="0"/>
      <w:marRight w:val="0"/>
      <w:marTop w:val="0"/>
      <w:marBottom w:val="0"/>
      <w:divBdr>
        <w:top w:val="none" w:sz="0" w:space="0" w:color="auto"/>
        <w:left w:val="none" w:sz="0" w:space="0" w:color="auto"/>
        <w:bottom w:val="none" w:sz="0" w:space="0" w:color="auto"/>
        <w:right w:val="none" w:sz="0" w:space="0" w:color="auto"/>
      </w:divBdr>
    </w:div>
    <w:div w:id="372198706">
      <w:bodyDiv w:val="1"/>
      <w:marLeft w:val="0"/>
      <w:marRight w:val="0"/>
      <w:marTop w:val="0"/>
      <w:marBottom w:val="0"/>
      <w:divBdr>
        <w:top w:val="none" w:sz="0" w:space="0" w:color="auto"/>
        <w:left w:val="none" w:sz="0" w:space="0" w:color="auto"/>
        <w:bottom w:val="none" w:sz="0" w:space="0" w:color="auto"/>
        <w:right w:val="none" w:sz="0" w:space="0" w:color="auto"/>
      </w:divBdr>
    </w:div>
    <w:div w:id="373241465">
      <w:bodyDiv w:val="1"/>
      <w:marLeft w:val="0"/>
      <w:marRight w:val="0"/>
      <w:marTop w:val="0"/>
      <w:marBottom w:val="0"/>
      <w:divBdr>
        <w:top w:val="none" w:sz="0" w:space="0" w:color="auto"/>
        <w:left w:val="none" w:sz="0" w:space="0" w:color="auto"/>
        <w:bottom w:val="none" w:sz="0" w:space="0" w:color="auto"/>
        <w:right w:val="none" w:sz="0" w:space="0" w:color="auto"/>
      </w:divBdr>
    </w:div>
    <w:div w:id="375395700">
      <w:bodyDiv w:val="1"/>
      <w:marLeft w:val="0"/>
      <w:marRight w:val="0"/>
      <w:marTop w:val="0"/>
      <w:marBottom w:val="0"/>
      <w:divBdr>
        <w:top w:val="none" w:sz="0" w:space="0" w:color="auto"/>
        <w:left w:val="none" w:sz="0" w:space="0" w:color="auto"/>
        <w:bottom w:val="none" w:sz="0" w:space="0" w:color="auto"/>
        <w:right w:val="none" w:sz="0" w:space="0" w:color="auto"/>
      </w:divBdr>
    </w:div>
    <w:div w:id="389573136">
      <w:bodyDiv w:val="1"/>
      <w:marLeft w:val="0"/>
      <w:marRight w:val="0"/>
      <w:marTop w:val="0"/>
      <w:marBottom w:val="0"/>
      <w:divBdr>
        <w:top w:val="none" w:sz="0" w:space="0" w:color="auto"/>
        <w:left w:val="none" w:sz="0" w:space="0" w:color="auto"/>
        <w:bottom w:val="none" w:sz="0" w:space="0" w:color="auto"/>
        <w:right w:val="none" w:sz="0" w:space="0" w:color="auto"/>
      </w:divBdr>
    </w:div>
    <w:div w:id="411509306">
      <w:bodyDiv w:val="1"/>
      <w:marLeft w:val="0"/>
      <w:marRight w:val="0"/>
      <w:marTop w:val="0"/>
      <w:marBottom w:val="0"/>
      <w:divBdr>
        <w:top w:val="none" w:sz="0" w:space="0" w:color="auto"/>
        <w:left w:val="none" w:sz="0" w:space="0" w:color="auto"/>
        <w:bottom w:val="none" w:sz="0" w:space="0" w:color="auto"/>
        <w:right w:val="none" w:sz="0" w:space="0" w:color="auto"/>
      </w:divBdr>
    </w:div>
    <w:div w:id="414475657">
      <w:bodyDiv w:val="1"/>
      <w:marLeft w:val="0"/>
      <w:marRight w:val="0"/>
      <w:marTop w:val="0"/>
      <w:marBottom w:val="0"/>
      <w:divBdr>
        <w:top w:val="none" w:sz="0" w:space="0" w:color="auto"/>
        <w:left w:val="none" w:sz="0" w:space="0" w:color="auto"/>
        <w:bottom w:val="none" w:sz="0" w:space="0" w:color="auto"/>
        <w:right w:val="none" w:sz="0" w:space="0" w:color="auto"/>
      </w:divBdr>
    </w:div>
    <w:div w:id="421995110">
      <w:bodyDiv w:val="1"/>
      <w:marLeft w:val="0"/>
      <w:marRight w:val="0"/>
      <w:marTop w:val="0"/>
      <w:marBottom w:val="0"/>
      <w:divBdr>
        <w:top w:val="none" w:sz="0" w:space="0" w:color="auto"/>
        <w:left w:val="none" w:sz="0" w:space="0" w:color="auto"/>
        <w:bottom w:val="none" w:sz="0" w:space="0" w:color="auto"/>
        <w:right w:val="none" w:sz="0" w:space="0" w:color="auto"/>
      </w:divBdr>
    </w:div>
    <w:div w:id="438570361">
      <w:bodyDiv w:val="1"/>
      <w:marLeft w:val="0"/>
      <w:marRight w:val="0"/>
      <w:marTop w:val="0"/>
      <w:marBottom w:val="0"/>
      <w:divBdr>
        <w:top w:val="none" w:sz="0" w:space="0" w:color="auto"/>
        <w:left w:val="none" w:sz="0" w:space="0" w:color="auto"/>
        <w:bottom w:val="none" w:sz="0" w:space="0" w:color="auto"/>
        <w:right w:val="none" w:sz="0" w:space="0" w:color="auto"/>
      </w:divBdr>
    </w:div>
    <w:div w:id="449982142">
      <w:bodyDiv w:val="1"/>
      <w:marLeft w:val="0"/>
      <w:marRight w:val="0"/>
      <w:marTop w:val="0"/>
      <w:marBottom w:val="0"/>
      <w:divBdr>
        <w:top w:val="none" w:sz="0" w:space="0" w:color="auto"/>
        <w:left w:val="none" w:sz="0" w:space="0" w:color="auto"/>
        <w:bottom w:val="none" w:sz="0" w:space="0" w:color="auto"/>
        <w:right w:val="none" w:sz="0" w:space="0" w:color="auto"/>
      </w:divBdr>
    </w:div>
    <w:div w:id="450251394">
      <w:bodyDiv w:val="1"/>
      <w:marLeft w:val="0"/>
      <w:marRight w:val="0"/>
      <w:marTop w:val="0"/>
      <w:marBottom w:val="0"/>
      <w:divBdr>
        <w:top w:val="none" w:sz="0" w:space="0" w:color="auto"/>
        <w:left w:val="none" w:sz="0" w:space="0" w:color="auto"/>
        <w:bottom w:val="none" w:sz="0" w:space="0" w:color="auto"/>
        <w:right w:val="none" w:sz="0" w:space="0" w:color="auto"/>
      </w:divBdr>
    </w:div>
    <w:div w:id="452093658">
      <w:bodyDiv w:val="1"/>
      <w:marLeft w:val="0"/>
      <w:marRight w:val="0"/>
      <w:marTop w:val="0"/>
      <w:marBottom w:val="0"/>
      <w:divBdr>
        <w:top w:val="none" w:sz="0" w:space="0" w:color="auto"/>
        <w:left w:val="none" w:sz="0" w:space="0" w:color="auto"/>
        <w:bottom w:val="none" w:sz="0" w:space="0" w:color="auto"/>
        <w:right w:val="none" w:sz="0" w:space="0" w:color="auto"/>
      </w:divBdr>
    </w:div>
    <w:div w:id="453839191">
      <w:bodyDiv w:val="1"/>
      <w:marLeft w:val="0"/>
      <w:marRight w:val="0"/>
      <w:marTop w:val="0"/>
      <w:marBottom w:val="0"/>
      <w:divBdr>
        <w:top w:val="none" w:sz="0" w:space="0" w:color="auto"/>
        <w:left w:val="none" w:sz="0" w:space="0" w:color="auto"/>
        <w:bottom w:val="none" w:sz="0" w:space="0" w:color="auto"/>
        <w:right w:val="none" w:sz="0" w:space="0" w:color="auto"/>
      </w:divBdr>
    </w:div>
    <w:div w:id="474182011">
      <w:bodyDiv w:val="1"/>
      <w:marLeft w:val="0"/>
      <w:marRight w:val="0"/>
      <w:marTop w:val="0"/>
      <w:marBottom w:val="0"/>
      <w:divBdr>
        <w:top w:val="none" w:sz="0" w:space="0" w:color="auto"/>
        <w:left w:val="none" w:sz="0" w:space="0" w:color="auto"/>
        <w:bottom w:val="none" w:sz="0" w:space="0" w:color="auto"/>
        <w:right w:val="none" w:sz="0" w:space="0" w:color="auto"/>
      </w:divBdr>
    </w:div>
    <w:div w:id="492569260">
      <w:bodyDiv w:val="1"/>
      <w:marLeft w:val="0"/>
      <w:marRight w:val="0"/>
      <w:marTop w:val="0"/>
      <w:marBottom w:val="0"/>
      <w:divBdr>
        <w:top w:val="none" w:sz="0" w:space="0" w:color="auto"/>
        <w:left w:val="none" w:sz="0" w:space="0" w:color="auto"/>
        <w:bottom w:val="none" w:sz="0" w:space="0" w:color="auto"/>
        <w:right w:val="none" w:sz="0" w:space="0" w:color="auto"/>
      </w:divBdr>
    </w:div>
    <w:div w:id="532231462">
      <w:bodyDiv w:val="1"/>
      <w:marLeft w:val="0"/>
      <w:marRight w:val="0"/>
      <w:marTop w:val="0"/>
      <w:marBottom w:val="0"/>
      <w:divBdr>
        <w:top w:val="none" w:sz="0" w:space="0" w:color="auto"/>
        <w:left w:val="none" w:sz="0" w:space="0" w:color="auto"/>
        <w:bottom w:val="none" w:sz="0" w:space="0" w:color="auto"/>
        <w:right w:val="none" w:sz="0" w:space="0" w:color="auto"/>
      </w:divBdr>
    </w:div>
    <w:div w:id="532696843">
      <w:bodyDiv w:val="1"/>
      <w:marLeft w:val="0"/>
      <w:marRight w:val="0"/>
      <w:marTop w:val="0"/>
      <w:marBottom w:val="0"/>
      <w:divBdr>
        <w:top w:val="none" w:sz="0" w:space="0" w:color="auto"/>
        <w:left w:val="none" w:sz="0" w:space="0" w:color="auto"/>
        <w:bottom w:val="none" w:sz="0" w:space="0" w:color="auto"/>
        <w:right w:val="none" w:sz="0" w:space="0" w:color="auto"/>
      </w:divBdr>
    </w:div>
    <w:div w:id="537163412">
      <w:bodyDiv w:val="1"/>
      <w:marLeft w:val="0"/>
      <w:marRight w:val="0"/>
      <w:marTop w:val="0"/>
      <w:marBottom w:val="0"/>
      <w:divBdr>
        <w:top w:val="none" w:sz="0" w:space="0" w:color="auto"/>
        <w:left w:val="none" w:sz="0" w:space="0" w:color="auto"/>
        <w:bottom w:val="none" w:sz="0" w:space="0" w:color="auto"/>
        <w:right w:val="none" w:sz="0" w:space="0" w:color="auto"/>
      </w:divBdr>
    </w:div>
    <w:div w:id="548423896">
      <w:bodyDiv w:val="1"/>
      <w:marLeft w:val="0"/>
      <w:marRight w:val="0"/>
      <w:marTop w:val="0"/>
      <w:marBottom w:val="0"/>
      <w:divBdr>
        <w:top w:val="none" w:sz="0" w:space="0" w:color="auto"/>
        <w:left w:val="none" w:sz="0" w:space="0" w:color="auto"/>
        <w:bottom w:val="none" w:sz="0" w:space="0" w:color="auto"/>
        <w:right w:val="none" w:sz="0" w:space="0" w:color="auto"/>
      </w:divBdr>
    </w:div>
    <w:div w:id="549919486">
      <w:bodyDiv w:val="1"/>
      <w:marLeft w:val="0"/>
      <w:marRight w:val="0"/>
      <w:marTop w:val="0"/>
      <w:marBottom w:val="0"/>
      <w:divBdr>
        <w:top w:val="none" w:sz="0" w:space="0" w:color="auto"/>
        <w:left w:val="none" w:sz="0" w:space="0" w:color="auto"/>
        <w:bottom w:val="none" w:sz="0" w:space="0" w:color="auto"/>
        <w:right w:val="none" w:sz="0" w:space="0" w:color="auto"/>
      </w:divBdr>
      <w:divsChild>
        <w:div w:id="1351293131">
          <w:marLeft w:val="0"/>
          <w:marRight w:val="0"/>
          <w:marTop w:val="840"/>
          <w:marBottom w:val="0"/>
          <w:divBdr>
            <w:top w:val="none" w:sz="0" w:space="0" w:color="auto"/>
            <w:left w:val="none" w:sz="0" w:space="0" w:color="auto"/>
            <w:bottom w:val="none" w:sz="0" w:space="0" w:color="auto"/>
            <w:right w:val="none" w:sz="0" w:space="0" w:color="auto"/>
          </w:divBdr>
        </w:div>
      </w:divsChild>
    </w:div>
    <w:div w:id="572551159">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576401183">
      <w:bodyDiv w:val="1"/>
      <w:marLeft w:val="0"/>
      <w:marRight w:val="0"/>
      <w:marTop w:val="0"/>
      <w:marBottom w:val="0"/>
      <w:divBdr>
        <w:top w:val="none" w:sz="0" w:space="0" w:color="auto"/>
        <w:left w:val="none" w:sz="0" w:space="0" w:color="auto"/>
        <w:bottom w:val="none" w:sz="0" w:space="0" w:color="auto"/>
        <w:right w:val="none" w:sz="0" w:space="0" w:color="auto"/>
      </w:divBdr>
    </w:div>
    <w:div w:id="580871048">
      <w:bodyDiv w:val="1"/>
      <w:marLeft w:val="0"/>
      <w:marRight w:val="0"/>
      <w:marTop w:val="0"/>
      <w:marBottom w:val="0"/>
      <w:divBdr>
        <w:top w:val="none" w:sz="0" w:space="0" w:color="auto"/>
        <w:left w:val="none" w:sz="0" w:space="0" w:color="auto"/>
        <w:bottom w:val="none" w:sz="0" w:space="0" w:color="auto"/>
        <w:right w:val="none" w:sz="0" w:space="0" w:color="auto"/>
      </w:divBdr>
    </w:div>
    <w:div w:id="590159150">
      <w:bodyDiv w:val="1"/>
      <w:marLeft w:val="0"/>
      <w:marRight w:val="0"/>
      <w:marTop w:val="0"/>
      <w:marBottom w:val="0"/>
      <w:divBdr>
        <w:top w:val="none" w:sz="0" w:space="0" w:color="auto"/>
        <w:left w:val="none" w:sz="0" w:space="0" w:color="auto"/>
        <w:bottom w:val="none" w:sz="0" w:space="0" w:color="auto"/>
        <w:right w:val="none" w:sz="0" w:space="0" w:color="auto"/>
      </w:divBdr>
    </w:div>
    <w:div w:id="609161461">
      <w:bodyDiv w:val="1"/>
      <w:marLeft w:val="0"/>
      <w:marRight w:val="0"/>
      <w:marTop w:val="0"/>
      <w:marBottom w:val="0"/>
      <w:divBdr>
        <w:top w:val="none" w:sz="0" w:space="0" w:color="auto"/>
        <w:left w:val="none" w:sz="0" w:space="0" w:color="auto"/>
        <w:bottom w:val="none" w:sz="0" w:space="0" w:color="auto"/>
        <w:right w:val="none" w:sz="0" w:space="0" w:color="auto"/>
      </w:divBdr>
    </w:div>
    <w:div w:id="634796236">
      <w:bodyDiv w:val="1"/>
      <w:marLeft w:val="0"/>
      <w:marRight w:val="0"/>
      <w:marTop w:val="0"/>
      <w:marBottom w:val="0"/>
      <w:divBdr>
        <w:top w:val="none" w:sz="0" w:space="0" w:color="auto"/>
        <w:left w:val="none" w:sz="0" w:space="0" w:color="auto"/>
        <w:bottom w:val="none" w:sz="0" w:space="0" w:color="auto"/>
        <w:right w:val="none" w:sz="0" w:space="0" w:color="auto"/>
      </w:divBdr>
    </w:div>
    <w:div w:id="641038772">
      <w:bodyDiv w:val="1"/>
      <w:marLeft w:val="0"/>
      <w:marRight w:val="0"/>
      <w:marTop w:val="0"/>
      <w:marBottom w:val="0"/>
      <w:divBdr>
        <w:top w:val="none" w:sz="0" w:space="0" w:color="auto"/>
        <w:left w:val="none" w:sz="0" w:space="0" w:color="auto"/>
        <w:bottom w:val="none" w:sz="0" w:space="0" w:color="auto"/>
        <w:right w:val="none" w:sz="0" w:space="0" w:color="auto"/>
      </w:divBdr>
    </w:div>
    <w:div w:id="645283912">
      <w:bodyDiv w:val="1"/>
      <w:marLeft w:val="0"/>
      <w:marRight w:val="0"/>
      <w:marTop w:val="0"/>
      <w:marBottom w:val="0"/>
      <w:divBdr>
        <w:top w:val="none" w:sz="0" w:space="0" w:color="auto"/>
        <w:left w:val="none" w:sz="0" w:space="0" w:color="auto"/>
        <w:bottom w:val="none" w:sz="0" w:space="0" w:color="auto"/>
        <w:right w:val="none" w:sz="0" w:space="0" w:color="auto"/>
      </w:divBdr>
    </w:div>
    <w:div w:id="650211605">
      <w:bodyDiv w:val="1"/>
      <w:marLeft w:val="0"/>
      <w:marRight w:val="0"/>
      <w:marTop w:val="0"/>
      <w:marBottom w:val="0"/>
      <w:divBdr>
        <w:top w:val="none" w:sz="0" w:space="0" w:color="auto"/>
        <w:left w:val="none" w:sz="0" w:space="0" w:color="auto"/>
        <w:bottom w:val="none" w:sz="0" w:space="0" w:color="auto"/>
        <w:right w:val="none" w:sz="0" w:space="0" w:color="auto"/>
      </w:divBdr>
    </w:div>
    <w:div w:id="651180224">
      <w:bodyDiv w:val="1"/>
      <w:marLeft w:val="0"/>
      <w:marRight w:val="0"/>
      <w:marTop w:val="0"/>
      <w:marBottom w:val="0"/>
      <w:divBdr>
        <w:top w:val="none" w:sz="0" w:space="0" w:color="auto"/>
        <w:left w:val="none" w:sz="0" w:space="0" w:color="auto"/>
        <w:bottom w:val="none" w:sz="0" w:space="0" w:color="auto"/>
        <w:right w:val="none" w:sz="0" w:space="0" w:color="auto"/>
      </w:divBdr>
      <w:divsChild>
        <w:div w:id="1422793037">
          <w:marLeft w:val="0"/>
          <w:marRight w:val="0"/>
          <w:marTop w:val="840"/>
          <w:marBottom w:val="0"/>
          <w:divBdr>
            <w:top w:val="none" w:sz="0" w:space="0" w:color="auto"/>
            <w:left w:val="none" w:sz="0" w:space="0" w:color="auto"/>
            <w:bottom w:val="none" w:sz="0" w:space="0" w:color="auto"/>
            <w:right w:val="none" w:sz="0" w:space="0" w:color="auto"/>
          </w:divBdr>
        </w:div>
      </w:divsChild>
    </w:div>
    <w:div w:id="660045654">
      <w:bodyDiv w:val="1"/>
      <w:marLeft w:val="0"/>
      <w:marRight w:val="0"/>
      <w:marTop w:val="0"/>
      <w:marBottom w:val="0"/>
      <w:divBdr>
        <w:top w:val="none" w:sz="0" w:space="0" w:color="auto"/>
        <w:left w:val="none" w:sz="0" w:space="0" w:color="auto"/>
        <w:bottom w:val="none" w:sz="0" w:space="0" w:color="auto"/>
        <w:right w:val="none" w:sz="0" w:space="0" w:color="auto"/>
      </w:divBdr>
    </w:div>
    <w:div w:id="684139523">
      <w:bodyDiv w:val="1"/>
      <w:marLeft w:val="0"/>
      <w:marRight w:val="0"/>
      <w:marTop w:val="0"/>
      <w:marBottom w:val="0"/>
      <w:divBdr>
        <w:top w:val="none" w:sz="0" w:space="0" w:color="auto"/>
        <w:left w:val="none" w:sz="0" w:space="0" w:color="auto"/>
        <w:bottom w:val="none" w:sz="0" w:space="0" w:color="auto"/>
        <w:right w:val="none" w:sz="0" w:space="0" w:color="auto"/>
      </w:divBdr>
    </w:div>
    <w:div w:id="686324385">
      <w:bodyDiv w:val="1"/>
      <w:marLeft w:val="0"/>
      <w:marRight w:val="0"/>
      <w:marTop w:val="0"/>
      <w:marBottom w:val="0"/>
      <w:divBdr>
        <w:top w:val="none" w:sz="0" w:space="0" w:color="auto"/>
        <w:left w:val="none" w:sz="0" w:space="0" w:color="auto"/>
        <w:bottom w:val="none" w:sz="0" w:space="0" w:color="auto"/>
        <w:right w:val="none" w:sz="0" w:space="0" w:color="auto"/>
      </w:divBdr>
    </w:div>
    <w:div w:id="687172941">
      <w:bodyDiv w:val="1"/>
      <w:marLeft w:val="0"/>
      <w:marRight w:val="0"/>
      <w:marTop w:val="0"/>
      <w:marBottom w:val="0"/>
      <w:divBdr>
        <w:top w:val="none" w:sz="0" w:space="0" w:color="auto"/>
        <w:left w:val="none" w:sz="0" w:space="0" w:color="auto"/>
        <w:bottom w:val="none" w:sz="0" w:space="0" w:color="auto"/>
        <w:right w:val="none" w:sz="0" w:space="0" w:color="auto"/>
      </w:divBdr>
    </w:div>
    <w:div w:id="691344541">
      <w:bodyDiv w:val="1"/>
      <w:marLeft w:val="0"/>
      <w:marRight w:val="0"/>
      <w:marTop w:val="0"/>
      <w:marBottom w:val="0"/>
      <w:divBdr>
        <w:top w:val="none" w:sz="0" w:space="0" w:color="auto"/>
        <w:left w:val="none" w:sz="0" w:space="0" w:color="auto"/>
        <w:bottom w:val="none" w:sz="0" w:space="0" w:color="auto"/>
        <w:right w:val="none" w:sz="0" w:space="0" w:color="auto"/>
      </w:divBdr>
    </w:div>
    <w:div w:id="700015539">
      <w:bodyDiv w:val="1"/>
      <w:marLeft w:val="0"/>
      <w:marRight w:val="0"/>
      <w:marTop w:val="0"/>
      <w:marBottom w:val="0"/>
      <w:divBdr>
        <w:top w:val="none" w:sz="0" w:space="0" w:color="auto"/>
        <w:left w:val="none" w:sz="0" w:space="0" w:color="auto"/>
        <w:bottom w:val="none" w:sz="0" w:space="0" w:color="auto"/>
        <w:right w:val="none" w:sz="0" w:space="0" w:color="auto"/>
      </w:divBdr>
    </w:div>
    <w:div w:id="708192058">
      <w:bodyDiv w:val="1"/>
      <w:marLeft w:val="0"/>
      <w:marRight w:val="0"/>
      <w:marTop w:val="0"/>
      <w:marBottom w:val="0"/>
      <w:divBdr>
        <w:top w:val="none" w:sz="0" w:space="0" w:color="auto"/>
        <w:left w:val="none" w:sz="0" w:space="0" w:color="auto"/>
        <w:bottom w:val="none" w:sz="0" w:space="0" w:color="auto"/>
        <w:right w:val="none" w:sz="0" w:space="0" w:color="auto"/>
      </w:divBdr>
    </w:div>
    <w:div w:id="715812652">
      <w:bodyDiv w:val="1"/>
      <w:marLeft w:val="0"/>
      <w:marRight w:val="0"/>
      <w:marTop w:val="0"/>
      <w:marBottom w:val="0"/>
      <w:divBdr>
        <w:top w:val="none" w:sz="0" w:space="0" w:color="auto"/>
        <w:left w:val="none" w:sz="0" w:space="0" w:color="auto"/>
        <w:bottom w:val="none" w:sz="0" w:space="0" w:color="auto"/>
        <w:right w:val="none" w:sz="0" w:space="0" w:color="auto"/>
      </w:divBdr>
    </w:div>
    <w:div w:id="717317749">
      <w:bodyDiv w:val="1"/>
      <w:marLeft w:val="0"/>
      <w:marRight w:val="0"/>
      <w:marTop w:val="0"/>
      <w:marBottom w:val="0"/>
      <w:divBdr>
        <w:top w:val="none" w:sz="0" w:space="0" w:color="auto"/>
        <w:left w:val="none" w:sz="0" w:space="0" w:color="auto"/>
        <w:bottom w:val="none" w:sz="0" w:space="0" w:color="auto"/>
        <w:right w:val="none" w:sz="0" w:space="0" w:color="auto"/>
      </w:divBdr>
    </w:div>
    <w:div w:id="730034892">
      <w:bodyDiv w:val="1"/>
      <w:marLeft w:val="0"/>
      <w:marRight w:val="0"/>
      <w:marTop w:val="0"/>
      <w:marBottom w:val="0"/>
      <w:divBdr>
        <w:top w:val="none" w:sz="0" w:space="0" w:color="auto"/>
        <w:left w:val="none" w:sz="0" w:space="0" w:color="auto"/>
        <w:bottom w:val="none" w:sz="0" w:space="0" w:color="auto"/>
        <w:right w:val="none" w:sz="0" w:space="0" w:color="auto"/>
      </w:divBdr>
    </w:div>
    <w:div w:id="737902323">
      <w:bodyDiv w:val="1"/>
      <w:marLeft w:val="0"/>
      <w:marRight w:val="0"/>
      <w:marTop w:val="0"/>
      <w:marBottom w:val="0"/>
      <w:divBdr>
        <w:top w:val="none" w:sz="0" w:space="0" w:color="auto"/>
        <w:left w:val="none" w:sz="0" w:space="0" w:color="auto"/>
        <w:bottom w:val="none" w:sz="0" w:space="0" w:color="auto"/>
        <w:right w:val="none" w:sz="0" w:space="0" w:color="auto"/>
      </w:divBdr>
    </w:div>
    <w:div w:id="746537288">
      <w:bodyDiv w:val="1"/>
      <w:marLeft w:val="0"/>
      <w:marRight w:val="0"/>
      <w:marTop w:val="0"/>
      <w:marBottom w:val="0"/>
      <w:divBdr>
        <w:top w:val="none" w:sz="0" w:space="0" w:color="auto"/>
        <w:left w:val="none" w:sz="0" w:space="0" w:color="auto"/>
        <w:bottom w:val="none" w:sz="0" w:space="0" w:color="auto"/>
        <w:right w:val="none" w:sz="0" w:space="0" w:color="auto"/>
      </w:divBdr>
    </w:div>
    <w:div w:id="749278997">
      <w:bodyDiv w:val="1"/>
      <w:marLeft w:val="0"/>
      <w:marRight w:val="0"/>
      <w:marTop w:val="0"/>
      <w:marBottom w:val="0"/>
      <w:divBdr>
        <w:top w:val="none" w:sz="0" w:space="0" w:color="auto"/>
        <w:left w:val="none" w:sz="0" w:space="0" w:color="auto"/>
        <w:bottom w:val="none" w:sz="0" w:space="0" w:color="auto"/>
        <w:right w:val="none" w:sz="0" w:space="0" w:color="auto"/>
      </w:divBdr>
    </w:div>
    <w:div w:id="769743488">
      <w:bodyDiv w:val="1"/>
      <w:marLeft w:val="0"/>
      <w:marRight w:val="0"/>
      <w:marTop w:val="0"/>
      <w:marBottom w:val="0"/>
      <w:divBdr>
        <w:top w:val="none" w:sz="0" w:space="0" w:color="auto"/>
        <w:left w:val="none" w:sz="0" w:space="0" w:color="auto"/>
        <w:bottom w:val="none" w:sz="0" w:space="0" w:color="auto"/>
        <w:right w:val="none" w:sz="0" w:space="0" w:color="auto"/>
      </w:divBdr>
    </w:div>
    <w:div w:id="775364282">
      <w:bodyDiv w:val="1"/>
      <w:marLeft w:val="0"/>
      <w:marRight w:val="0"/>
      <w:marTop w:val="0"/>
      <w:marBottom w:val="0"/>
      <w:divBdr>
        <w:top w:val="none" w:sz="0" w:space="0" w:color="auto"/>
        <w:left w:val="none" w:sz="0" w:space="0" w:color="auto"/>
        <w:bottom w:val="none" w:sz="0" w:space="0" w:color="auto"/>
        <w:right w:val="none" w:sz="0" w:space="0" w:color="auto"/>
      </w:divBdr>
    </w:div>
    <w:div w:id="810171624">
      <w:bodyDiv w:val="1"/>
      <w:marLeft w:val="0"/>
      <w:marRight w:val="0"/>
      <w:marTop w:val="0"/>
      <w:marBottom w:val="0"/>
      <w:divBdr>
        <w:top w:val="none" w:sz="0" w:space="0" w:color="auto"/>
        <w:left w:val="none" w:sz="0" w:space="0" w:color="auto"/>
        <w:bottom w:val="none" w:sz="0" w:space="0" w:color="auto"/>
        <w:right w:val="none" w:sz="0" w:space="0" w:color="auto"/>
      </w:divBdr>
    </w:div>
    <w:div w:id="811096794">
      <w:bodyDiv w:val="1"/>
      <w:marLeft w:val="0"/>
      <w:marRight w:val="0"/>
      <w:marTop w:val="0"/>
      <w:marBottom w:val="0"/>
      <w:divBdr>
        <w:top w:val="none" w:sz="0" w:space="0" w:color="auto"/>
        <w:left w:val="none" w:sz="0" w:space="0" w:color="auto"/>
        <w:bottom w:val="none" w:sz="0" w:space="0" w:color="auto"/>
        <w:right w:val="none" w:sz="0" w:space="0" w:color="auto"/>
      </w:divBdr>
    </w:div>
    <w:div w:id="830684878">
      <w:bodyDiv w:val="1"/>
      <w:marLeft w:val="0"/>
      <w:marRight w:val="0"/>
      <w:marTop w:val="0"/>
      <w:marBottom w:val="0"/>
      <w:divBdr>
        <w:top w:val="none" w:sz="0" w:space="0" w:color="auto"/>
        <w:left w:val="none" w:sz="0" w:space="0" w:color="auto"/>
        <w:bottom w:val="none" w:sz="0" w:space="0" w:color="auto"/>
        <w:right w:val="none" w:sz="0" w:space="0" w:color="auto"/>
      </w:divBdr>
    </w:div>
    <w:div w:id="834223258">
      <w:bodyDiv w:val="1"/>
      <w:marLeft w:val="0"/>
      <w:marRight w:val="0"/>
      <w:marTop w:val="0"/>
      <w:marBottom w:val="0"/>
      <w:divBdr>
        <w:top w:val="none" w:sz="0" w:space="0" w:color="auto"/>
        <w:left w:val="none" w:sz="0" w:space="0" w:color="auto"/>
        <w:bottom w:val="none" w:sz="0" w:space="0" w:color="auto"/>
        <w:right w:val="none" w:sz="0" w:space="0" w:color="auto"/>
      </w:divBdr>
    </w:div>
    <w:div w:id="836845377">
      <w:bodyDiv w:val="1"/>
      <w:marLeft w:val="0"/>
      <w:marRight w:val="0"/>
      <w:marTop w:val="0"/>
      <w:marBottom w:val="0"/>
      <w:divBdr>
        <w:top w:val="none" w:sz="0" w:space="0" w:color="auto"/>
        <w:left w:val="none" w:sz="0" w:space="0" w:color="auto"/>
        <w:bottom w:val="none" w:sz="0" w:space="0" w:color="auto"/>
        <w:right w:val="none" w:sz="0" w:space="0" w:color="auto"/>
      </w:divBdr>
    </w:div>
    <w:div w:id="840923919">
      <w:bodyDiv w:val="1"/>
      <w:marLeft w:val="0"/>
      <w:marRight w:val="0"/>
      <w:marTop w:val="0"/>
      <w:marBottom w:val="0"/>
      <w:divBdr>
        <w:top w:val="none" w:sz="0" w:space="0" w:color="auto"/>
        <w:left w:val="none" w:sz="0" w:space="0" w:color="auto"/>
        <w:bottom w:val="none" w:sz="0" w:space="0" w:color="auto"/>
        <w:right w:val="none" w:sz="0" w:space="0" w:color="auto"/>
      </w:divBdr>
    </w:div>
    <w:div w:id="852108362">
      <w:bodyDiv w:val="1"/>
      <w:marLeft w:val="0"/>
      <w:marRight w:val="0"/>
      <w:marTop w:val="0"/>
      <w:marBottom w:val="0"/>
      <w:divBdr>
        <w:top w:val="none" w:sz="0" w:space="0" w:color="auto"/>
        <w:left w:val="none" w:sz="0" w:space="0" w:color="auto"/>
        <w:bottom w:val="none" w:sz="0" w:space="0" w:color="auto"/>
        <w:right w:val="none" w:sz="0" w:space="0" w:color="auto"/>
      </w:divBdr>
    </w:div>
    <w:div w:id="868882552">
      <w:bodyDiv w:val="1"/>
      <w:marLeft w:val="0"/>
      <w:marRight w:val="0"/>
      <w:marTop w:val="0"/>
      <w:marBottom w:val="0"/>
      <w:divBdr>
        <w:top w:val="none" w:sz="0" w:space="0" w:color="auto"/>
        <w:left w:val="none" w:sz="0" w:space="0" w:color="auto"/>
        <w:bottom w:val="none" w:sz="0" w:space="0" w:color="auto"/>
        <w:right w:val="none" w:sz="0" w:space="0" w:color="auto"/>
      </w:divBdr>
    </w:div>
    <w:div w:id="876546556">
      <w:bodyDiv w:val="1"/>
      <w:marLeft w:val="0"/>
      <w:marRight w:val="0"/>
      <w:marTop w:val="0"/>
      <w:marBottom w:val="0"/>
      <w:divBdr>
        <w:top w:val="none" w:sz="0" w:space="0" w:color="auto"/>
        <w:left w:val="none" w:sz="0" w:space="0" w:color="auto"/>
        <w:bottom w:val="none" w:sz="0" w:space="0" w:color="auto"/>
        <w:right w:val="none" w:sz="0" w:space="0" w:color="auto"/>
      </w:divBdr>
    </w:div>
    <w:div w:id="899244890">
      <w:bodyDiv w:val="1"/>
      <w:marLeft w:val="0"/>
      <w:marRight w:val="0"/>
      <w:marTop w:val="0"/>
      <w:marBottom w:val="0"/>
      <w:divBdr>
        <w:top w:val="none" w:sz="0" w:space="0" w:color="auto"/>
        <w:left w:val="none" w:sz="0" w:space="0" w:color="auto"/>
        <w:bottom w:val="none" w:sz="0" w:space="0" w:color="auto"/>
        <w:right w:val="none" w:sz="0" w:space="0" w:color="auto"/>
      </w:divBdr>
    </w:div>
    <w:div w:id="905069688">
      <w:bodyDiv w:val="1"/>
      <w:marLeft w:val="0"/>
      <w:marRight w:val="0"/>
      <w:marTop w:val="0"/>
      <w:marBottom w:val="0"/>
      <w:divBdr>
        <w:top w:val="none" w:sz="0" w:space="0" w:color="auto"/>
        <w:left w:val="none" w:sz="0" w:space="0" w:color="auto"/>
        <w:bottom w:val="none" w:sz="0" w:space="0" w:color="auto"/>
        <w:right w:val="none" w:sz="0" w:space="0" w:color="auto"/>
      </w:divBdr>
    </w:div>
    <w:div w:id="906308471">
      <w:bodyDiv w:val="1"/>
      <w:marLeft w:val="0"/>
      <w:marRight w:val="0"/>
      <w:marTop w:val="0"/>
      <w:marBottom w:val="0"/>
      <w:divBdr>
        <w:top w:val="none" w:sz="0" w:space="0" w:color="auto"/>
        <w:left w:val="none" w:sz="0" w:space="0" w:color="auto"/>
        <w:bottom w:val="none" w:sz="0" w:space="0" w:color="auto"/>
        <w:right w:val="none" w:sz="0" w:space="0" w:color="auto"/>
      </w:divBdr>
    </w:div>
    <w:div w:id="924460546">
      <w:bodyDiv w:val="1"/>
      <w:marLeft w:val="0"/>
      <w:marRight w:val="0"/>
      <w:marTop w:val="0"/>
      <w:marBottom w:val="0"/>
      <w:divBdr>
        <w:top w:val="none" w:sz="0" w:space="0" w:color="auto"/>
        <w:left w:val="none" w:sz="0" w:space="0" w:color="auto"/>
        <w:bottom w:val="none" w:sz="0" w:space="0" w:color="auto"/>
        <w:right w:val="none" w:sz="0" w:space="0" w:color="auto"/>
      </w:divBdr>
    </w:div>
    <w:div w:id="960503320">
      <w:bodyDiv w:val="1"/>
      <w:marLeft w:val="0"/>
      <w:marRight w:val="0"/>
      <w:marTop w:val="0"/>
      <w:marBottom w:val="0"/>
      <w:divBdr>
        <w:top w:val="none" w:sz="0" w:space="0" w:color="auto"/>
        <w:left w:val="none" w:sz="0" w:space="0" w:color="auto"/>
        <w:bottom w:val="none" w:sz="0" w:space="0" w:color="auto"/>
        <w:right w:val="none" w:sz="0" w:space="0" w:color="auto"/>
      </w:divBdr>
    </w:div>
    <w:div w:id="961544528">
      <w:bodyDiv w:val="1"/>
      <w:marLeft w:val="0"/>
      <w:marRight w:val="0"/>
      <w:marTop w:val="0"/>
      <w:marBottom w:val="0"/>
      <w:divBdr>
        <w:top w:val="none" w:sz="0" w:space="0" w:color="auto"/>
        <w:left w:val="none" w:sz="0" w:space="0" w:color="auto"/>
        <w:bottom w:val="none" w:sz="0" w:space="0" w:color="auto"/>
        <w:right w:val="none" w:sz="0" w:space="0" w:color="auto"/>
      </w:divBdr>
    </w:div>
    <w:div w:id="963079123">
      <w:bodyDiv w:val="1"/>
      <w:marLeft w:val="0"/>
      <w:marRight w:val="0"/>
      <w:marTop w:val="0"/>
      <w:marBottom w:val="0"/>
      <w:divBdr>
        <w:top w:val="none" w:sz="0" w:space="0" w:color="auto"/>
        <w:left w:val="none" w:sz="0" w:space="0" w:color="auto"/>
        <w:bottom w:val="none" w:sz="0" w:space="0" w:color="auto"/>
        <w:right w:val="none" w:sz="0" w:space="0" w:color="auto"/>
      </w:divBdr>
    </w:div>
    <w:div w:id="965698359">
      <w:bodyDiv w:val="1"/>
      <w:marLeft w:val="0"/>
      <w:marRight w:val="0"/>
      <w:marTop w:val="0"/>
      <w:marBottom w:val="0"/>
      <w:divBdr>
        <w:top w:val="none" w:sz="0" w:space="0" w:color="auto"/>
        <w:left w:val="none" w:sz="0" w:space="0" w:color="auto"/>
        <w:bottom w:val="none" w:sz="0" w:space="0" w:color="auto"/>
        <w:right w:val="none" w:sz="0" w:space="0" w:color="auto"/>
      </w:divBdr>
    </w:div>
    <w:div w:id="976229590">
      <w:bodyDiv w:val="1"/>
      <w:marLeft w:val="0"/>
      <w:marRight w:val="0"/>
      <w:marTop w:val="0"/>
      <w:marBottom w:val="0"/>
      <w:divBdr>
        <w:top w:val="none" w:sz="0" w:space="0" w:color="auto"/>
        <w:left w:val="none" w:sz="0" w:space="0" w:color="auto"/>
        <w:bottom w:val="none" w:sz="0" w:space="0" w:color="auto"/>
        <w:right w:val="none" w:sz="0" w:space="0" w:color="auto"/>
      </w:divBdr>
    </w:div>
    <w:div w:id="977222108">
      <w:bodyDiv w:val="1"/>
      <w:marLeft w:val="0"/>
      <w:marRight w:val="0"/>
      <w:marTop w:val="0"/>
      <w:marBottom w:val="0"/>
      <w:divBdr>
        <w:top w:val="none" w:sz="0" w:space="0" w:color="auto"/>
        <w:left w:val="none" w:sz="0" w:space="0" w:color="auto"/>
        <w:bottom w:val="none" w:sz="0" w:space="0" w:color="auto"/>
        <w:right w:val="none" w:sz="0" w:space="0" w:color="auto"/>
      </w:divBdr>
    </w:div>
    <w:div w:id="994721043">
      <w:bodyDiv w:val="1"/>
      <w:marLeft w:val="0"/>
      <w:marRight w:val="0"/>
      <w:marTop w:val="0"/>
      <w:marBottom w:val="0"/>
      <w:divBdr>
        <w:top w:val="none" w:sz="0" w:space="0" w:color="auto"/>
        <w:left w:val="none" w:sz="0" w:space="0" w:color="auto"/>
        <w:bottom w:val="none" w:sz="0" w:space="0" w:color="auto"/>
        <w:right w:val="none" w:sz="0" w:space="0" w:color="auto"/>
      </w:divBdr>
    </w:div>
    <w:div w:id="1000473550">
      <w:bodyDiv w:val="1"/>
      <w:marLeft w:val="0"/>
      <w:marRight w:val="0"/>
      <w:marTop w:val="0"/>
      <w:marBottom w:val="0"/>
      <w:divBdr>
        <w:top w:val="none" w:sz="0" w:space="0" w:color="auto"/>
        <w:left w:val="none" w:sz="0" w:space="0" w:color="auto"/>
        <w:bottom w:val="none" w:sz="0" w:space="0" w:color="auto"/>
        <w:right w:val="none" w:sz="0" w:space="0" w:color="auto"/>
      </w:divBdr>
    </w:div>
    <w:div w:id="1006832290">
      <w:bodyDiv w:val="1"/>
      <w:marLeft w:val="0"/>
      <w:marRight w:val="0"/>
      <w:marTop w:val="0"/>
      <w:marBottom w:val="0"/>
      <w:divBdr>
        <w:top w:val="none" w:sz="0" w:space="0" w:color="auto"/>
        <w:left w:val="none" w:sz="0" w:space="0" w:color="auto"/>
        <w:bottom w:val="none" w:sz="0" w:space="0" w:color="auto"/>
        <w:right w:val="none" w:sz="0" w:space="0" w:color="auto"/>
      </w:divBdr>
    </w:div>
    <w:div w:id="1011375248">
      <w:bodyDiv w:val="1"/>
      <w:marLeft w:val="0"/>
      <w:marRight w:val="0"/>
      <w:marTop w:val="0"/>
      <w:marBottom w:val="0"/>
      <w:divBdr>
        <w:top w:val="none" w:sz="0" w:space="0" w:color="auto"/>
        <w:left w:val="none" w:sz="0" w:space="0" w:color="auto"/>
        <w:bottom w:val="none" w:sz="0" w:space="0" w:color="auto"/>
        <w:right w:val="none" w:sz="0" w:space="0" w:color="auto"/>
      </w:divBdr>
    </w:div>
    <w:div w:id="1013797193">
      <w:bodyDiv w:val="1"/>
      <w:marLeft w:val="0"/>
      <w:marRight w:val="0"/>
      <w:marTop w:val="0"/>
      <w:marBottom w:val="0"/>
      <w:divBdr>
        <w:top w:val="none" w:sz="0" w:space="0" w:color="auto"/>
        <w:left w:val="none" w:sz="0" w:space="0" w:color="auto"/>
        <w:bottom w:val="none" w:sz="0" w:space="0" w:color="auto"/>
        <w:right w:val="none" w:sz="0" w:space="0" w:color="auto"/>
      </w:divBdr>
    </w:div>
    <w:div w:id="1020159116">
      <w:bodyDiv w:val="1"/>
      <w:marLeft w:val="0"/>
      <w:marRight w:val="0"/>
      <w:marTop w:val="0"/>
      <w:marBottom w:val="0"/>
      <w:divBdr>
        <w:top w:val="none" w:sz="0" w:space="0" w:color="auto"/>
        <w:left w:val="none" w:sz="0" w:space="0" w:color="auto"/>
        <w:bottom w:val="none" w:sz="0" w:space="0" w:color="auto"/>
        <w:right w:val="none" w:sz="0" w:space="0" w:color="auto"/>
      </w:divBdr>
    </w:div>
    <w:div w:id="1026365314">
      <w:bodyDiv w:val="1"/>
      <w:marLeft w:val="0"/>
      <w:marRight w:val="0"/>
      <w:marTop w:val="0"/>
      <w:marBottom w:val="0"/>
      <w:divBdr>
        <w:top w:val="none" w:sz="0" w:space="0" w:color="auto"/>
        <w:left w:val="none" w:sz="0" w:space="0" w:color="auto"/>
        <w:bottom w:val="none" w:sz="0" w:space="0" w:color="auto"/>
        <w:right w:val="none" w:sz="0" w:space="0" w:color="auto"/>
      </w:divBdr>
    </w:div>
    <w:div w:id="1042511347">
      <w:bodyDiv w:val="1"/>
      <w:marLeft w:val="0"/>
      <w:marRight w:val="0"/>
      <w:marTop w:val="0"/>
      <w:marBottom w:val="0"/>
      <w:divBdr>
        <w:top w:val="none" w:sz="0" w:space="0" w:color="auto"/>
        <w:left w:val="none" w:sz="0" w:space="0" w:color="auto"/>
        <w:bottom w:val="none" w:sz="0" w:space="0" w:color="auto"/>
        <w:right w:val="none" w:sz="0" w:space="0" w:color="auto"/>
      </w:divBdr>
    </w:div>
    <w:div w:id="1046686651">
      <w:bodyDiv w:val="1"/>
      <w:marLeft w:val="0"/>
      <w:marRight w:val="0"/>
      <w:marTop w:val="0"/>
      <w:marBottom w:val="0"/>
      <w:divBdr>
        <w:top w:val="none" w:sz="0" w:space="0" w:color="auto"/>
        <w:left w:val="none" w:sz="0" w:space="0" w:color="auto"/>
        <w:bottom w:val="none" w:sz="0" w:space="0" w:color="auto"/>
        <w:right w:val="none" w:sz="0" w:space="0" w:color="auto"/>
      </w:divBdr>
    </w:div>
    <w:div w:id="1071730462">
      <w:bodyDiv w:val="1"/>
      <w:marLeft w:val="0"/>
      <w:marRight w:val="0"/>
      <w:marTop w:val="0"/>
      <w:marBottom w:val="0"/>
      <w:divBdr>
        <w:top w:val="none" w:sz="0" w:space="0" w:color="auto"/>
        <w:left w:val="none" w:sz="0" w:space="0" w:color="auto"/>
        <w:bottom w:val="none" w:sz="0" w:space="0" w:color="auto"/>
        <w:right w:val="none" w:sz="0" w:space="0" w:color="auto"/>
      </w:divBdr>
    </w:div>
    <w:div w:id="1076125039">
      <w:bodyDiv w:val="1"/>
      <w:marLeft w:val="0"/>
      <w:marRight w:val="0"/>
      <w:marTop w:val="0"/>
      <w:marBottom w:val="0"/>
      <w:divBdr>
        <w:top w:val="none" w:sz="0" w:space="0" w:color="auto"/>
        <w:left w:val="none" w:sz="0" w:space="0" w:color="auto"/>
        <w:bottom w:val="none" w:sz="0" w:space="0" w:color="auto"/>
        <w:right w:val="none" w:sz="0" w:space="0" w:color="auto"/>
      </w:divBdr>
    </w:div>
    <w:div w:id="1076826877">
      <w:bodyDiv w:val="1"/>
      <w:marLeft w:val="0"/>
      <w:marRight w:val="0"/>
      <w:marTop w:val="0"/>
      <w:marBottom w:val="0"/>
      <w:divBdr>
        <w:top w:val="none" w:sz="0" w:space="0" w:color="auto"/>
        <w:left w:val="none" w:sz="0" w:space="0" w:color="auto"/>
        <w:bottom w:val="none" w:sz="0" w:space="0" w:color="auto"/>
        <w:right w:val="none" w:sz="0" w:space="0" w:color="auto"/>
      </w:divBdr>
    </w:div>
    <w:div w:id="1087505423">
      <w:bodyDiv w:val="1"/>
      <w:marLeft w:val="0"/>
      <w:marRight w:val="0"/>
      <w:marTop w:val="0"/>
      <w:marBottom w:val="0"/>
      <w:divBdr>
        <w:top w:val="none" w:sz="0" w:space="0" w:color="auto"/>
        <w:left w:val="none" w:sz="0" w:space="0" w:color="auto"/>
        <w:bottom w:val="none" w:sz="0" w:space="0" w:color="auto"/>
        <w:right w:val="none" w:sz="0" w:space="0" w:color="auto"/>
      </w:divBdr>
    </w:div>
    <w:div w:id="1103457044">
      <w:bodyDiv w:val="1"/>
      <w:marLeft w:val="0"/>
      <w:marRight w:val="0"/>
      <w:marTop w:val="0"/>
      <w:marBottom w:val="0"/>
      <w:divBdr>
        <w:top w:val="none" w:sz="0" w:space="0" w:color="auto"/>
        <w:left w:val="none" w:sz="0" w:space="0" w:color="auto"/>
        <w:bottom w:val="none" w:sz="0" w:space="0" w:color="auto"/>
        <w:right w:val="none" w:sz="0" w:space="0" w:color="auto"/>
      </w:divBdr>
    </w:div>
    <w:div w:id="1111170774">
      <w:bodyDiv w:val="1"/>
      <w:marLeft w:val="0"/>
      <w:marRight w:val="0"/>
      <w:marTop w:val="0"/>
      <w:marBottom w:val="0"/>
      <w:divBdr>
        <w:top w:val="none" w:sz="0" w:space="0" w:color="auto"/>
        <w:left w:val="none" w:sz="0" w:space="0" w:color="auto"/>
        <w:bottom w:val="none" w:sz="0" w:space="0" w:color="auto"/>
        <w:right w:val="none" w:sz="0" w:space="0" w:color="auto"/>
      </w:divBdr>
    </w:div>
    <w:div w:id="1118643422">
      <w:bodyDiv w:val="1"/>
      <w:marLeft w:val="0"/>
      <w:marRight w:val="0"/>
      <w:marTop w:val="0"/>
      <w:marBottom w:val="0"/>
      <w:divBdr>
        <w:top w:val="none" w:sz="0" w:space="0" w:color="auto"/>
        <w:left w:val="none" w:sz="0" w:space="0" w:color="auto"/>
        <w:bottom w:val="none" w:sz="0" w:space="0" w:color="auto"/>
        <w:right w:val="none" w:sz="0" w:space="0" w:color="auto"/>
      </w:divBdr>
    </w:div>
    <w:div w:id="1129054462">
      <w:bodyDiv w:val="1"/>
      <w:marLeft w:val="0"/>
      <w:marRight w:val="0"/>
      <w:marTop w:val="0"/>
      <w:marBottom w:val="0"/>
      <w:divBdr>
        <w:top w:val="none" w:sz="0" w:space="0" w:color="auto"/>
        <w:left w:val="none" w:sz="0" w:space="0" w:color="auto"/>
        <w:bottom w:val="none" w:sz="0" w:space="0" w:color="auto"/>
        <w:right w:val="none" w:sz="0" w:space="0" w:color="auto"/>
      </w:divBdr>
    </w:div>
    <w:div w:id="1145120833">
      <w:bodyDiv w:val="1"/>
      <w:marLeft w:val="0"/>
      <w:marRight w:val="0"/>
      <w:marTop w:val="0"/>
      <w:marBottom w:val="0"/>
      <w:divBdr>
        <w:top w:val="none" w:sz="0" w:space="0" w:color="auto"/>
        <w:left w:val="none" w:sz="0" w:space="0" w:color="auto"/>
        <w:bottom w:val="none" w:sz="0" w:space="0" w:color="auto"/>
        <w:right w:val="none" w:sz="0" w:space="0" w:color="auto"/>
      </w:divBdr>
    </w:div>
    <w:div w:id="1149246837">
      <w:bodyDiv w:val="1"/>
      <w:marLeft w:val="0"/>
      <w:marRight w:val="0"/>
      <w:marTop w:val="0"/>
      <w:marBottom w:val="0"/>
      <w:divBdr>
        <w:top w:val="none" w:sz="0" w:space="0" w:color="auto"/>
        <w:left w:val="none" w:sz="0" w:space="0" w:color="auto"/>
        <w:bottom w:val="none" w:sz="0" w:space="0" w:color="auto"/>
        <w:right w:val="none" w:sz="0" w:space="0" w:color="auto"/>
      </w:divBdr>
    </w:div>
    <w:div w:id="1153984063">
      <w:bodyDiv w:val="1"/>
      <w:marLeft w:val="0"/>
      <w:marRight w:val="0"/>
      <w:marTop w:val="0"/>
      <w:marBottom w:val="0"/>
      <w:divBdr>
        <w:top w:val="none" w:sz="0" w:space="0" w:color="auto"/>
        <w:left w:val="none" w:sz="0" w:space="0" w:color="auto"/>
        <w:bottom w:val="none" w:sz="0" w:space="0" w:color="auto"/>
        <w:right w:val="none" w:sz="0" w:space="0" w:color="auto"/>
      </w:divBdr>
    </w:div>
    <w:div w:id="1167593126">
      <w:bodyDiv w:val="1"/>
      <w:marLeft w:val="0"/>
      <w:marRight w:val="0"/>
      <w:marTop w:val="0"/>
      <w:marBottom w:val="0"/>
      <w:divBdr>
        <w:top w:val="none" w:sz="0" w:space="0" w:color="auto"/>
        <w:left w:val="none" w:sz="0" w:space="0" w:color="auto"/>
        <w:bottom w:val="none" w:sz="0" w:space="0" w:color="auto"/>
        <w:right w:val="none" w:sz="0" w:space="0" w:color="auto"/>
      </w:divBdr>
    </w:div>
    <w:div w:id="1177428005">
      <w:bodyDiv w:val="1"/>
      <w:marLeft w:val="0"/>
      <w:marRight w:val="0"/>
      <w:marTop w:val="0"/>
      <w:marBottom w:val="0"/>
      <w:divBdr>
        <w:top w:val="none" w:sz="0" w:space="0" w:color="auto"/>
        <w:left w:val="none" w:sz="0" w:space="0" w:color="auto"/>
        <w:bottom w:val="none" w:sz="0" w:space="0" w:color="auto"/>
        <w:right w:val="none" w:sz="0" w:space="0" w:color="auto"/>
      </w:divBdr>
    </w:div>
    <w:div w:id="1182352951">
      <w:bodyDiv w:val="1"/>
      <w:marLeft w:val="0"/>
      <w:marRight w:val="0"/>
      <w:marTop w:val="0"/>
      <w:marBottom w:val="0"/>
      <w:divBdr>
        <w:top w:val="none" w:sz="0" w:space="0" w:color="auto"/>
        <w:left w:val="none" w:sz="0" w:space="0" w:color="auto"/>
        <w:bottom w:val="none" w:sz="0" w:space="0" w:color="auto"/>
        <w:right w:val="none" w:sz="0" w:space="0" w:color="auto"/>
      </w:divBdr>
    </w:div>
    <w:div w:id="1182817254">
      <w:bodyDiv w:val="1"/>
      <w:marLeft w:val="0"/>
      <w:marRight w:val="0"/>
      <w:marTop w:val="0"/>
      <w:marBottom w:val="0"/>
      <w:divBdr>
        <w:top w:val="none" w:sz="0" w:space="0" w:color="auto"/>
        <w:left w:val="none" w:sz="0" w:space="0" w:color="auto"/>
        <w:bottom w:val="none" w:sz="0" w:space="0" w:color="auto"/>
        <w:right w:val="none" w:sz="0" w:space="0" w:color="auto"/>
      </w:divBdr>
    </w:div>
    <w:div w:id="1188251073">
      <w:bodyDiv w:val="1"/>
      <w:marLeft w:val="0"/>
      <w:marRight w:val="0"/>
      <w:marTop w:val="0"/>
      <w:marBottom w:val="0"/>
      <w:divBdr>
        <w:top w:val="none" w:sz="0" w:space="0" w:color="auto"/>
        <w:left w:val="none" w:sz="0" w:space="0" w:color="auto"/>
        <w:bottom w:val="none" w:sz="0" w:space="0" w:color="auto"/>
        <w:right w:val="none" w:sz="0" w:space="0" w:color="auto"/>
      </w:divBdr>
    </w:div>
    <w:div w:id="1196431947">
      <w:bodyDiv w:val="1"/>
      <w:marLeft w:val="0"/>
      <w:marRight w:val="0"/>
      <w:marTop w:val="0"/>
      <w:marBottom w:val="0"/>
      <w:divBdr>
        <w:top w:val="none" w:sz="0" w:space="0" w:color="auto"/>
        <w:left w:val="none" w:sz="0" w:space="0" w:color="auto"/>
        <w:bottom w:val="none" w:sz="0" w:space="0" w:color="auto"/>
        <w:right w:val="none" w:sz="0" w:space="0" w:color="auto"/>
      </w:divBdr>
    </w:div>
    <w:div w:id="1208834541">
      <w:bodyDiv w:val="1"/>
      <w:marLeft w:val="0"/>
      <w:marRight w:val="0"/>
      <w:marTop w:val="0"/>
      <w:marBottom w:val="0"/>
      <w:divBdr>
        <w:top w:val="none" w:sz="0" w:space="0" w:color="auto"/>
        <w:left w:val="none" w:sz="0" w:space="0" w:color="auto"/>
        <w:bottom w:val="none" w:sz="0" w:space="0" w:color="auto"/>
        <w:right w:val="none" w:sz="0" w:space="0" w:color="auto"/>
      </w:divBdr>
    </w:div>
    <w:div w:id="1213464599">
      <w:bodyDiv w:val="1"/>
      <w:marLeft w:val="0"/>
      <w:marRight w:val="0"/>
      <w:marTop w:val="0"/>
      <w:marBottom w:val="0"/>
      <w:divBdr>
        <w:top w:val="none" w:sz="0" w:space="0" w:color="auto"/>
        <w:left w:val="none" w:sz="0" w:space="0" w:color="auto"/>
        <w:bottom w:val="none" w:sz="0" w:space="0" w:color="auto"/>
        <w:right w:val="none" w:sz="0" w:space="0" w:color="auto"/>
      </w:divBdr>
    </w:div>
    <w:div w:id="1223101318">
      <w:bodyDiv w:val="1"/>
      <w:marLeft w:val="0"/>
      <w:marRight w:val="0"/>
      <w:marTop w:val="0"/>
      <w:marBottom w:val="0"/>
      <w:divBdr>
        <w:top w:val="none" w:sz="0" w:space="0" w:color="auto"/>
        <w:left w:val="none" w:sz="0" w:space="0" w:color="auto"/>
        <w:bottom w:val="none" w:sz="0" w:space="0" w:color="auto"/>
        <w:right w:val="none" w:sz="0" w:space="0" w:color="auto"/>
      </w:divBdr>
    </w:div>
    <w:div w:id="1236814124">
      <w:bodyDiv w:val="1"/>
      <w:marLeft w:val="0"/>
      <w:marRight w:val="0"/>
      <w:marTop w:val="0"/>
      <w:marBottom w:val="0"/>
      <w:divBdr>
        <w:top w:val="none" w:sz="0" w:space="0" w:color="auto"/>
        <w:left w:val="none" w:sz="0" w:space="0" w:color="auto"/>
        <w:bottom w:val="none" w:sz="0" w:space="0" w:color="auto"/>
        <w:right w:val="none" w:sz="0" w:space="0" w:color="auto"/>
      </w:divBdr>
    </w:div>
    <w:div w:id="1242133506">
      <w:bodyDiv w:val="1"/>
      <w:marLeft w:val="0"/>
      <w:marRight w:val="0"/>
      <w:marTop w:val="0"/>
      <w:marBottom w:val="0"/>
      <w:divBdr>
        <w:top w:val="none" w:sz="0" w:space="0" w:color="auto"/>
        <w:left w:val="none" w:sz="0" w:space="0" w:color="auto"/>
        <w:bottom w:val="none" w:sz="0" w:space="0" w:color="auto"/>
        <w:right w:val="none" w:sz="0" w:space="0" w:color="auto"/>
      </w:divBdr>
    </w:div>
    <w:div w:id="1251621124">
      <w:bodyDiv w:val="1"/>
      <w:marLeft w:val="0"/>
      <w:marRight w:val="0"/>
      <w:marTop w:val="0"/>
      <w:marBottom w:val="0"/>
      <w:divBdr>
        <w:top w:val="none" w:sz="0" w:space="0" w:color="auto"/>
        <w:left w:val="none" w:sz="0" w:space="0" w:color="auto"/>
        <w:bottom w:val="none" w:sz="0" w:space="0" w:color="auto"/>
        <w:right w:val="none" w:sz="0" w:space="0" w:color="auto"/>
      </w:divBdr>
    </w:div>
    <w:div w:id="1269966417">
      <w:bodyDiv w:val="1"/>
      <w:marLeft w:val="0"/>
      <w:marRight w:val="0"/>
      <w:marTop w:val="0"/>
      <w:marBottom w:val="0"/>
      <w:divBdr>
        <w:top w:val="none" w:sz="0" w:space="0" w:color="auto"/>
        <w:left w:val="none" w:sz="0" w:space="0" w:color="auto"/>
        <w:bottom w:val="none" w:sz="0" w:space="0" w:color="auto"/>
        <w:right w:val="none" w:sz="0" w:space="0" w:color="auto"/>
      </w:divBdr>
    </w:div>
    <w:div w:id="1279026317">
      <w:bodyDiv w:val="1"/>
      <w:marLeft w:val="0"/>
      <w:marRight w:val="0"/>
      <w:marTop w:val="0"/>
      <w:marBottom w:val="0"/>
      <w:divBdr>
        <w:top w:val="none" w:sz="0" w:space="0" w:color="auto"/>
        <w:left w:val="none" w:sz="0" w:space="0" w:color="auto"/>
        <w:bottom w:val="none" w:sz="0" w:space="0" w:color="auto"/>
        <w:right w:val="none" w:sz="0" w:space="0" w:color="auto"/>
      </w:divBdr>
    </w:div>
    <w:div w:id="1298027462">
      <w:bodyDiv w:val="1"/>
      <w:marLeft w:val="0"/>
      <w:marRight w:val="0"/>
      <w:marTop w:val="0"/>
      <w:marBottom w:val="0"/>
      <w:divBdr>
        <w:top w:val="none" w:sz="0" w:space="0" w:color="auto"/>
        <w:left w:val="none" w:sz="0" w:space="0" w:color="auto"/>
        <w:bottom w:val="none" w:sz="0" w:space="0" w:color="auto"/>
        <w:right w:val="none" w:sz="0" w:space="0" w:color="auto"/>
      </w:divBdr>
    </w:div>
    <w:div w:id="1299528743">
      <w:bodyDiv w:val="1"/>
      <w:marLeft w:val="0"/>
      <w:marRight w:val="0"/>
      <w:marTop w:val="0"/>
      <w:marBottom w:val="0"/>
      <w:divBdr>
        <w:top w:val="none" w:sz="0" w:space="0" w:color="auto"/>
        <w:left w:val="none" w:sz="0" w:space="0" w:color="auto"/>
        <w:bottom w:val="none" w:sz="0" w:space="0" w:color="auto"/>
        <w:right w:val="none" w:sz="0" w:space="0" w:color="auto"/>
      </w:divBdr>
    </w:div>
    <w:div w:id="1306621240">
      <w:bodyDiv w:val="1"/>
      <w:marLeft w:val="0"/>
      <w:marRight w:val="0"/>
      <w:marTop w:val="0"/>
      <w:marBottom w:val="0"/>
      <w:divBdr>
        <w:top w:val="none" w:sz="0" w:space="0" w:color="auto"/>
        <w:left w:val="none" w:sz="0" w:space="0" w:color="auto"/>
        <w:bottom w:val="none" w:sz="0" w:space="0" w:color="auto"/>
        <w:right w:val="none" w:sz="0" w:space="0" w:color="auto"/>
      </w:divBdr>
    </w:div>
    <w:div w:id="1310477815">
      <w:bodyDiv w:val="1"/>
      <w:marLeft w:val="0"/>
      <w:marRight w:val="0"/>
      <w:marTop w:val="0"/>
      <w:marBottom w:val="0"/>
      <w:divBdr>
        <w:top w:val="none" w:sz="0" w:space="0" w:color="auto"/>
        <w:left w:val="none" w:sz="0" w:space="0" w:color="auto"/>
        <w:bottom w:val="none" w:sz="0" w:space="0" w:color="auto"/>
        <w:right w:val="none" w:sz="0" w:space="0" w:color="auto"/>
      </w:divBdr>
    </w:div>
    <w:div w:id="1321232347">
      <w:bodyDiv w:val="1"/>
      <w:marLeft w:val="0"/>
      <w:marRight w:val="0"/>
      <w:marTop w:val="0"/>
      <w:marBottom w:val="0"/>
      <w:divBdr>
        <w:top w:val="none" w:sz="0" w:space="0" w:color="auto"/>
        <w:left w:val="none" w:sz="0" w:space="0" w:color="auto"/>
        <w:bottom w:val="none" w:sz="0" w:space="0" w:color="auto"/>
        <w:right w:val="none" w:sz="0" w:space="0" w:color="auto"/>
      </w:divBdr>
    </w:div>
    <w:div w:id="1329282464">
      <w:bodyDiv w:val="1"/>
      <w:marLeft w:val="0"/>
      <w:marRight w:val="0"/>
      <w:marTop w:val="0"/>
      <w:marBottom w:val="0"/>
      <w:divBdr>
        <w:top w:val="none" w:sz="0" w:space="0" w:color="auto"/>
        <w:left w:val="none" w:sz="0" w:space="0" w:color="auto"/>
        <w:bottom w:val="none" w:sz="0" w:space="0" w:color="auto"/>
        <w:right w:val="none" w:sz="0" w:space="0" w:color="auto"/>
      </w:divBdr>
    </w:div>
    <w:div w:id="1330520477">
      <w:bodyDiv w:val="1"/>
      <w:marLeft w:val="0"/>
      <w:marRight w:val="0"/>
      <w:marTop w:val="0"/>
      <w:marBottom w:val="0"/>
      <w:divBdr>
        <w:top w:val="none" w:sz="0" w:space="0" w:color="auto"/>
        <w:left w:val="none" w:sz="0" w:space="0" w:color="auto"/>
        <w:bottom w:val="none" w:sz="0" w:space="0" w:color="auto"/>
        <w:right w:val="none" w:sz="0" w:space="0" w:color="auto"/>
      </w:divBdr>
    </w:div>
    <w:div w:id="1346983088">
      <w:bodyDiv w:val="1"/>
      <w:marLeft w:val="0"/>
      <w:marRight w:val="0"/>
      <w:marTop w:val="0"/>
      <w:marBottom w:val="0"/>
      <w:divBdr>
        <w:top w:val="none" w:sz="0" w:space="0" w:color="auto"/>
        <w:left w:val="none" w:sz="0" w:space="0" w:color="auto"/>
        <w:bottom w:val="none" w:sz="0" w:space="0" w:color="auto"/>
        <w:right w:val="none" w:sz="0" w:space="0" w:color="auto"/>
      </w:divBdr>
    </w:div>
    <w:div w:id="1347439262">
      <w:bodyDiv w:val="1"/>
      <w:marLeft w:val="0"/>
      <w:marRight w:val="0"/>
      <w:marTop w:val="0"/>
      <w:marBottom w:val="0"/>
      <w:divBdr>
        <w:top w:val="none" w:sz="0" w:space="0" w:color="auto"/>
        <w:left w:val="none" w:sz="0" w:space="0" w:color="auto"/>
        <w:bottom w:val="none" w:sz="0" w:space="0" w:color="auto"/>
        <w:right w:val="none" w:sz="0" w:space="0" w:color="auto"/>
      </w:divBdr>
    </w:div>
    <w:div w:id="1350840085">
      <w:bodyDiv w:val="1"/>
      <w:marLeft w:val="0"/>
      <w:marRight w:val="0"/>
      <w:marTop w:val="0"/>
      <w:marBottom w:val="0"/>
      <w:divBdr>
        <w:top w:val="none" w:sz="0" w:space="0" w:color="auto"/>
        <w:left w:val="none" w:sz="0" w:space="0" w:color="auto"/>
        <w:bottom w:val="none" w:sz="0" w:space="0" w:color="auto"/>
        <w:right w:val="none" w:sz="0" w:space="0" w:color="auto"/>
      </w:divBdr>
    </w:div>
    <w:div w:id="1363625995">
      <w:bodyDiv w:val="1"/>
      <w:marLeft w:val="0"/>
      <w:marRight w:val="0"/>
      <w:marTop w:val="0"/>
      <w:marBottom w:val="0"/>
      <w:divBdr>
        <w:top w:val="none" w:sz="0" w:space="0" w:color="auto"/>
        <w:left w:val="none" w:sz="0" w:space="0" w:color="auto"/>
        <w:bottom w:val="none" w:sz="0" w:space="0" w:color="auto"/>
        <w:right w:val="none" w:sz="0" w:space="0" w:color="auto"/>
      </w:divBdr>
    </w:div>
    <w:div w:id="1364473925">
      <w:bodyDiv w:val="1"/>
      <w:marLeft w:val="0"/>
      <w:marRight w:val="0"/>
      <w:marTop w:val="0"/>
      <w:marBottom w:val="0"/>
      <w:divBdr>
        <w:top w:val="none" w:sz="0" w:space="0" w:color="auto"/>
        <w:left w:val="none" w:sz="0" w:space="0" w:color="auto"/>
        <w:bottom w:val="none" w:sz="0" w:space="0" w:color="auto"/>
        <w:right w:val="none" w:sz="0" w:space="0" w:color="auto"/>
      </w:divBdr>
    </w:div>
    <w:div w:id="1375615623">
      <w:bodyDiv w:val="1"/>
      <w:marLeft w:val="0"/>
      <w:marRight w:val="0"/>
      <w:marTop w:val="0"/>
      <w:marBottom w:val="0"/>
      <w:divBdr>
        <w:top w:val="none" w:sz="0" w:space="0" w:color="auto"/>
        <w:left w:val="none" w:sz="0" w:space="0" w:color="auto"/>
        <w:bottom w:val="none" w:sz="0" w:space="0" w:color="auto"/>
        <w:right w:val="none" w:sz="0" w:space="0" w:color="auto"/>
      </w:divBdr>
    </w:div>
    <w:div w:id="1381126879">
      <w:bodyDiv w:val="1"/>
      <w:marLeft w:val="0"/>
      <w:marRight w:val="0"/>
      <w:marTop w:val="0"/>
      <w:marBottom w:val="0"/>
      <w:divBdr>
        <w:top w:val="none" w:sz="0" w:space="0" w:color="auto"/>
        <w:left w:val="none" w:sz="0" w:space="0" w:color="auto"/>
        <w:bottom w:val="none" w:sz="0" w:space="0" w:color="auto"/>
        <w:right w:val="none" w:sz="0" w:space="0" w:color="auto"/>
      </w:divBdr>
    </w:div>
    <w:div w:id="1391659491">
      <w:bodyDiv w:val="1"/>
      <w:marLeft w:val="0"/>
      <w:marRight w:val="0"/>
      <w:marTop w:val="0"/>
      <w:marBottom w:val="0"/>
      <w:divBdr>
        <w:top w:val="none" w:sz="0" w:space="0" w:color="auto"/>
        <w:left w:val="none" w:sz="0" w:space="0" w:color="auto"/>
        <w:bottom w:val="none" w:sz="0" w:space="0" w:color="auto"/>
        <w:right w:val="none" w:sz="0" w:space="0" w:color="auto"/>
      </w:divBdr>
    </w:div>
    <w:div w:id="1420176536">
      <w:bodyDiv w:val="1"/>
      <w:marLeft w:val="0"/>
      <w:marRight w:val="0"/>
      <w:marTop w:val="0"/>
      <w:marBottom w:val="0"/>
      <w:divBdr>
        <w:top w:val="none" w:sz="0" w:space="0" w:color="auto"/>
        <w:left w:val="none" w:sz="0" w:space="0" w:color="auto"/>
        <w:bottom w:val="none" w:sz="0" w:space="0" w:color="auto"/>
        <w:right w:val="none" w:sz="0" w:space="0" w:color="auto"/>
      </w:divBdr>
    </w:div>
    <w:div w:id="1423260679">
      <w:bodyDiv w:val="1"/>
      <w:marLeft w:val="0"/>
      <w:marRight w:val="0"/>
      <w:marTop w:val="0"/>
      <w:marBottom w:val="0"/>
      <w:divBdr>
        <w:top w:val="none" w:sz="0" w:space="0" w:color="auto"/>
        <w:left w:val="none" w:sz="0" w:space="0" w:color="auto"/>
        <w:bottom w:val="none" w:sz="0" w:space="0" w:color="auto"/>
        <w:right w:val="none" w:sz="0" w:space="0" w:color="auto"/>
      </w:divBdr>
    </w:div>
    <w:div w:id="1424568738">
      <w:bodyDiv w:val="1"/>
      <w:marLeft w:val="0"/>
      <w:marRight w:val="0"/>
      <w:marTop w:val="0"/>
      <w:marBottom w:val="0"/>
      <w:divBdr>
        <w:top w:val="none" w:sz="0" w:space="0" w:color="auto"/>
        <w:left w:val="none" w:sz="0" w:space="0" w:color="auto"/>
        <w:bottom w:val="none" w:sz="0" w:space="0" w:color="auto"/>
        <w:right w:val="none" w:sz="0" w:space="0" w:color="auto"/>
      </w:divBdr>
    </w:div>
    <w:div w:id="1431319106">
      <w:bodyDiv w:val="1"/>
      <w:marLeft w:val="0"/>
      <w:marRight w:val="0"/>
      <w:marTop w:val="0"/>
      <w:marBottom w:val="0"/>
      <w:divBdr>
        <w:top w:val="none" w:sz="0" w:space="0" w:color="auto"/>
        <w:left w:val="none" w:sz="0" w:space="0" w:color="auto"/>
        <w:bottom w:val="none" w:sz="0" w:space="0" w:color="auto"/>
        <w:right w:val="none" w:sz="0" w:space="0" w:color="auto"/>
      </w:divBdr>
    </w:div>
    <w:div w:id="1431468975">
      <w:bodyDiv w:val="1"/>
      <w:marLeft w:val="0"/>
      <w:marRight w:val="0"/>
      <w:marTop w:val="0"/>
      <w:marBottom w:val="0"/>
      <w:divBdr>
        <w:top w:val="none" w:sz="0" w:space="0" w:color="auto"/>
        <w:left w:val="none" w:sz="0" w:space="0" w:color="auto"/>
        <w:bottom w:val="none" w:sz="0" w:space="0" w:color="auto"/>
        <w:right w:val="none" w:sz="0" w:space="0" w:color="auto"/>
      </w:divBdr>
    </w:div>
    <w:div w:id="1459758207">
      <w:bodyDiv w:val="1"/>
      <w:marLeft w:val="0"/>
      <w:marRight w:val="0"/>
      <w:marTop w:val="0"/>
      <w:marBottom w:val="0"/>
      <w:divBdr>
        <w:top w:val="none" w:sz="0" w:space="0" w:color="auto"/>
        <w:left w:val="none" w:sz="0" w:space="0" w:color="auto"/>
        <w:bottom w:val="none" w:sz="0" w:space="0" w:color="auto"/>
        <w:right w:val="none" w:sz="0" w:space="0" w:color="auto"/>
      </w:divBdr>
    </w:div>
    <w:div w:id="1496148312">
      <w:bodyDiv w:val="1"/>
      <w:marLeft w:val="0"/>
      <w:marRight w:val="0"/>
      <w:marTop w:val="0"/>
      <w:marBottom w:val="0"/>
      <w:divBdr>
        <w:top w:val="none" w:sz="0" w:space="0" w:color="auto"/>
        <w:left w:val="none" w:sz="0" w:space="0" w:color="auto"/>
        <w:bottom w:val="none" w:sz="0" w:space="0" w:color="auto"/>
        <w:right w:val="none" w:sz="0" w:space="0" w:color="auto"/>
      </w:divBdr>
    </w:div>
    <w:div w:id="1515337313">
      <w:bodyDiv w:val="1"/>
      <w:marLeft w:val="0"/>
      <w:marRight w:val="0"/>
      <w:marTop w:val="0"/>
      <w:marBottom w:val="0"/>
      <w:divBdr>
        <w:top w:val="none" w:sz="0" w:space="0" w:color="auto"/>
        <w:left w:val="none" w:sz="0" w:space="0" w:color="auto"/>
        <w:bottom w:val="none" w:sz="0" w:space="0" w:color="auto"/>
        <w:right w:val="none" w:sz="0" w:space="0" w:color="auto"/>
      </w:divBdr>
    </w:div>
    <w:div w:id="1520705553">
      <w:bodyDiv w:val="1"/>
      <w:marLeft w:val="0"/>
      <w:marRight w:val="0"/>
      <w:marTop w:val="0"/>
      <w:marBottom w:val="0"/>
      <w:divBdr>
        <w:top w:val="none" w:sz="0" w:space="0" w:color="auto"/>
        <w:left w:val="none" w:sz="0" w:space="0" w:color="auto"/>
        <w:bottom w:val="none" w:sz="0" w:space="0" w:color="auto"/>
        <w:right w:val="none" w:sz="0" w:space="0" w:color="auto"/>
      </w:divBdr>
    </w:div>
    <w:div w:id="1520778776">
      <w:bodyDiv w:val="1"/>
      <w:marLeft w:val="0"/>
      <w:marRight w:val="0"/>
      <w:marTop w:val="0"/>
      <w:marBottom w:val="0"/>
      <w:divBdr>
        <w:top w:val="none" w:sz="0" w:space="0" w:color="auto"/>
        <w:left w:val="none" w:sz="0" w:space="0" w:color="auto"/>
        <w:bottom w:val="none" w:sz="0" w:space="0" w:color="auto"/>
        <w:right w:val="none" w:sz="0" w:space="0" w:color="auto"/>
      </w:divBdr>
    </w:div>
    <w:div w:id="1538618247">
      <w:bodyDiv w:val="1"/>
      <w:marLeft w:val="0"/>
      <w:marRight w:val="0"/>
      <w:marTop w:val="0"/>
      <w:marBottom w:val="0"/>
      <w:divBdr>
        <w:top w:val="none" w:sz="0" w:space="0" w:color="auto"/>
        <w:left w:val="none" w:sz="0" w:space="0" w:color="auto"/>
        <w:bottom w:val="none" w:sz="0" w:space="0" w:color="auto"/>
        <w:right w:val="none" w:sz="0" w:space="0" w:color="auto"/>
      </w:divBdr>
    </w:div>
    <w:div w:id="1546983626">
      <w:bodyDiv w:val="1"/>
      <w:marLeft w:val="0"/>
      <w:marRight w:val="0"/>
      <w:marTop w:val="0"/>
      <w:marBottom w:val="0"/>
      <w:divBdr>
        <w:top w:val="none" w:sz="0" w:space="0" w:color="auto"/>
        <w:left w:val="none" w:sz="0" w:space="0" w:color="auto"/>
        <w:bottom w:val="none" w:sz="0" w:space="0" w:color="auto"/>
        <w:right w:val="none" w:sz="0" w:space="0" w:color="auto"/>
      </w:divBdr>
    </w:div>
    <w:div w:id="1555504241">
      <w:bodyDiv w:val="1"/>
      <w:marLeft w:val="0"/>
      <w:marRight w:val="0"/>
      <w:marTop w:val="0"/>
      <w:marBottom w:val="0"/>
      <w:divBdr>
        <w:top w:val="none" w:sz="0" w:space="0" w:color="auto"/>
        <w:left w:val="none" w:sz="0" w:space="0" w:color="auto"/>
        <w:bottom w:val="none" w:sz="0" w:space="0" w:color="auto"/>
        <w:right w:val="none" w:sz="0" w:space="0" w:color="auto"/>
      </w:divBdr>
    </w:div>
    <w:div w:id="1576209640">
      <w:bodyDiv w:val="1"/>
      <w:marLeft w:val="0"/>
      <w:marRight w:val="0"/>
      <w:marTop w:val="0"/>
      <w:marBottom w:val="0"/>
      <w:divBdr>
        <w:top w:val="none" w:sz="0" w:space="0" w:color="auto"/>
        <w:left w:val="none" w:sz="0" w:space="0" w:color="auto"/>
        <w:bottom w:val="none" w:sz="0" w:space="0" w:color="auto"/>
        <w:right w:val="none" w:sz="0" w:space="0" w:color="auto"/>
      </w:divBdr>
    </w:div>
    <w:div w:id="1591816058">
      <w:bodyDiv w:val="1"/>
      <w:marLeft w:val="0"/>
      <w:marRight w:val="0"/>
      <w:marTop w:val="0"/>
      <w:marBottom w:val="0"/>
      <w:divBdr>
        <w:top w:val="none" w:sz="0" w:space="0" w:color="auto"/>
        <w:left w:val="none" w:sz="0" w:space="0" w:color="auto"/>
        <w:bottom w:val="none" w:sz="0" w:space="0" w:color="auto"/>
        <w:right w:val="none" w:sz="0" w:space="0" w:color="auto"/>
      </w:divBdr>
    </w:div>
    <w:div w:id="1598296236">
      <w:bodyDiv w:val="1"/>
      <w:marLeft w:val="0"/>
      <w:marRight w:val="0"/>
      <w:marTop w:val="0"/>
      <w:marBottom w:val="0"/>
      <w:divBdr>
        <w:top w:val="none" w:sz="0" w:space="0" w:color="auto"/>
        <w:left w:val="none" w:sz="0" w:space="0" w:color="auto"/>
        <w:bottom w:val="none" w:sz="0" w:space="0" w:color="auto"/>
        <w:right w:val="none" w:sz="0" w:space="0" w:color="auto"/>
      </w:divBdr>
    </w:div>
    <w:div w:id="1598635980">
      <w:bodyDiv w:val="1"/>
      <w:marLeft w:val="0"/>
      <w:marRight w:val="0"/>
      <w:marTop w:val="0"/>
      <w:marBottom w:val="0"/>
      <w:divBdr>
        <w:top w:val="none" w:sz="0" w:space="0" w:color="auto"/>
        <w:left w:val="none" w:sz="0" w:space="0" w:color="auto"/>
        <w:bottom w:val="none" w:sz="0" w:space="0" w:color="auto"/>
        <w:right w:val="none" w:sz="0" w:space="0" w:color="auto"/>
      </w:divBdr>
    </w:div>
    <w:div w:id="1608080243">
      <w:bodyDiv w:val="1"/>
      <w:marLeft w:val="0"/>
      <w:marRight w:val="0"/>
      <w:marTop w:val="0"/>
      <w:marBottom w:val="0"/>
      <w:divBdr>
        <w:top w:val="none" w:sz="0" w:space="0" w:color="auto"/>
        <w:left w:val="none" w:sz="0" w:space="0" w:color="auto"/>
        <w:bottom w:val="none" w:sz="0" w:space="0" w:color="auto"/>
        <w:right w:val="none" w:sz="0" w:space="0" w:color="auto"/>
      </w:divBdr>
    </w:div>
    <w:div w:id="1616522795">
      <w:bodyDiv w:val="1"/>
      <w:marLeft w:val="0"/>
      <w:marRight w:val="0"/>
      <w:marTop w:val="0"/>
      <w:marBottom w:val="0"/>
      <w:divBdr>
        <w:top w:val="none" w:sz="0" w:space="0" w:color="auto"/>
        <w:left w:val="none" w:sz="0" w:space="0" w:color="auto"/>
        <w:bottom w:val="none" w:sz="0" w:space="0" w:color="auto"/>
        <w:right w:val="none" w:sz="0" w:space="0" w:color="auto"/>
      </w:divBdr>
    </w:div>
    <w:div w:id="1617519280">
      <w:bodyDiv w:val="1"/>
      <w:marLeft w:val="0"/>
      <w:marRight w:val="0"/>
      <w:marTop w:val="0"/>
      <w:marBottom w:val="0"/>
      <w:divBdr>
        <w:top w:val="none" w:sz="0" w:space="0" w:color="auto"/>
        <w:left w:val="none" w:sz="0" w:space="0" w:color="auto"/>
        <w:bottom w:val="none" w:sz="0" w:space="0" w:color="auto"/>
        <w:right w:val="none" w:sz="0" w:space="0" w:color="auto"/>
      </w:divBdr>
    </w:div>
    <w:div w:id="1626539951">
      <w:bodyDiv w:val="1"/>
      <w:marLeft w:val="0"/>
      <w:marRight w:val="0"/>
      <w:marTop w:val="0"/>
      <w:marBottom w:val="0"/>
      <w:divBdr>
        <w:top w:val="none" w:sz="0" w:space="0" w:color="auto"/>
        <w:left w:val="none" w:sz="0" w:space="0" w:color="auto"/>
        <w:bottom w:val="none" w:sz="0" w:space="0" w:color="auto"/>
        <w:right w:val="none" w:sz="0" w:space="0" w:color="auto"/>
      </w:divBdr>
    </w:div>
    <w:div w:id="1628127033">
      <w:bodyDiv w:val="1"/>
      <w:marLeft w:val="0"/>
      <w:marRight w:val="0"/>
      <w:marTop w:val="0"/>
      <w:marBottom w:val="0"/>
      <w:divBdr>
        <w:top w:val="none" w:sz="0" w:space="0" w:color="auto"/>
        <w:left w:val="none" w:sz="0" w:space="0" w:color="auto"/>
        <w:bottom w:val="none" w:sz="0" w:space="0" w:color="auto"/>
        <w:right w:val="none" w:sz="0" w:space="0" w:color="auto"/>
      </w:divBdr>
    </w:div>
    <w:div w:id="1628274066">
      <w:bodyDiv w:val="1"/>
      <w:marLeft w:val="0"/>
      <w:marRight w:val="0"/>
      <w:marTop w:val="0"/>
      <w:marBottom w:val="0"/>
      <w:divBdr>
        <w:top w:val="none" w:sz="0" w:space="0" w:color="auto"/>
        <w:left w:val="none" w:sz="0" w:space="0" w:color="auto"/>
        <w:bottom w:val="none" w:sz="0" w:space="0" w:color="auto"/>
        <w:right w:val="none" w:sz="0" w:space="0" w:color="auto"/>
      </w:divBdr>
    </w:div>
    <w:div w:id="1628585094">
      <w:bodyDiv w:val="1"/>
      <w:marLeft w:val="0"/>
      <w:marRight w:val="0"/>
      <w:marTop w:val="0"/>
      <w:marBottom w:val="0"/>
      <w:divBdr>
        <w:top w:val="none" w:sz="0" w:space="0" w:color="auto"/>
        <w:left w:val="none" w:sz="0" w:space="0" w:color="auto"/>
        <w:bottom w:val="none" w:sz="0" w:space="0" w:color="auto"/>
        <w:right w:val="none" w:sz="0" w:space="0" w:color="auto"/>
      </w:divBdr>
    </w:div>
    <w:div w:id="1629583471">
      <w:bodyDiv w:val="1"/>
      <w:marLeft w:val="0"/>
      <w:marRight w:val="0"/>
      <w:marTop w:val="0"/>
      <w:marBottom w:val="0"/>
      <w:divBdr>
        <w:top w:val="none" w:sz="0" w:space="0" w:color="auto"/>
        <w:left w:val="none" w:sz="0" w:space="0" w:color="auto"/>
        <w:bottom w:val="none" w:sz="0" w:space="0" w:color="auto"/>
        <w:right w:val="none" w:sz="0" w:space="0" w:color="auto"/>
      </w:divBdr>
    </w:div>
    <w:div w:id="1645812820">
      <w:bodyDiv w:val="1"/>
      <w:marLeft w:val="0"/>
      <w:marRight w:val="0"/>
      <w:marTop w:val="0"/>
      <w:marBottom w:val="0"/>
      <w:divBdr>
        <w:top w:val="none" w:sz="0" w:space="0" w:color="auto"/>
        <w:left w:val="none" w:sz="0" w:space="0" w:color="auto"/>
        <w:bottom w:val="none" w:sz="0" w:space="0" w:color="auto"/>
        <w:right w:val="none" w:sz="0" w:space="0" w:color="auto"/>
      </w:divBdr>
    </w:div>
    <w:div w:id="1661616052">
      <w:bodyDiv w:val="1"/>
      <w:marLeft w:val="0"/>
      <w:marRight w:val="0"/>
      <w:marTop w:val="0"/>
      <w:marBottom w:val="0"/>
      <w:divBdr>
        <w:top w:val="none" w:sz="0" w:space="0" w:color="auto"/>
        <w:left w:val="none" w:sz="0" w:space="0" w:color="auto"/>
        <w:bottom w:val="none" w:sz="0" w:space="0" w:color="auto"/>
        <w:right w:val="none" w:sz="0" w:space="0" w:color="auto"/>
      </w:divBdr>
    </w:div>
    <w:div w:id="1671054605">
      <w:bodyDiv w:val="1"/>
      <w:marLeft w:val="0"/>
      <w:marRight w:val="0"/>
      <w:marTop w:val="0"/>
      <w:marBottom w:val="0"/>
      <w:divBdr>
        <w:top w:val="none" w:sz="0" w:space="0" w:color="auto"/>
        <w:left w:val="none" w:sz="0" w:space="0" w:color="auto"/>
        <w:bottom w:val="none" w:sz="0" w:space="0" w:color="auto"/>
        <w:right w:val="none" w:sz="0" w:space="0" w:color="auto"/>
      </w:divBdr>
    </w:div>
    <w:div w:id="1679313679">
      <w:bodyDiv w:val="1"/>
      <w:marLeft w:val="0"/>
      <w:marRight w:val="0"/>
      <w:marTop w:val="0"/>
      <w:marBottom w:val="0"/>
      <w:divBdr>
        <w:top w:val="none" w:sz="0" w:space="0" w:color="auto"/>
        <w:left w:val="none" w:sz="0" w:space="0" w:color="auto"/>
        <w:bottom w:val="none" w:sz="0" w:space="0" w:color="auto"/>
        <w:right w:val="none" w:sz="0" w:space="0" w:color="auto"/>
      </w:divBdr>
    </w:div>
    <w:div w:id="1688865664">
      <w:bodyDiv w:val="1"/>
      <w:marLeft w:val="0"/>
      <w:marRight w:val="0"/>
      <w:marTop w:val="0"/>
      <w:marBottom w:val="0"/>
      <w:divBdr>
        <w:top w:val="none" w:sz="0" w:space="0" w:color="auto"/>
        <w:left w:val="none" w:sz="0" w:space="0" w:color="auto"/>
        <w:bottom w:val="none" w:sz="0" w:space="0" w:color="auto"/>
        <w:right w:val="none" w:sz="0" w:space="0" w:color="auto"/>
      </w:divBdr>
    </w:div>
    <w:div w:id="1693219858">
      <w:bodyDiv w:val="1"/>
      <w:marLeft w:val="0"/>
      <w:marRight w:val="0"/>
      <w:marTop w:val="0"/>
      <w:marBottom w:val="0"/>
      <w:divBdr>
        <w:top w:val="none" w:sz="0" w:space="0" w:color="auto"/>
        <w:left w:val="none" w:sz="0" w:space="0" w:color="auto"/>
        <w:bottom w:val="none" w:sz="0" w:space="0" w:color="auto"/>
        <w:right w:val="none" w:sz="0" w:space="0" w:color="auto"/>
      </w:divBdr>
    </w:div>
    <w:div w:id="1707755175">
      <w:bodyDiv w:val="1"/>
      <w:marLeft w:val="0"/>
      <w:marRight w:val="0"/>
      <w:marTop w:val="0"/>
      <w:marBottom w:val="0"/>
      <w:divBdr>
        <w:top w:val="none" w:sz="0" w:space="0" w:color="auto"/>
        <w:left w:val="none" w:sz="0" w:space="0" w:color="auto"/>
        <w:bottom w:val="none" w:sz="0" w:space="0" w:color="auto"/>
        <w:right w:val="none" w:sz="0" w:space="0" w:color="auto"/>
      </w:divBdr>
    </w:div>
    <w:div w:id="1717510662">
      <w:bodyDiv w:val="1"/>
      <w:marLeft w:val="0"/>
      <w:marRight w:val="0"/>
      <w:marTop w:val="0"/>
      <w:marBottom w:val="0"/>
      <w:divBdr>
        <w:top w:val="none" w:sz="0" w:space="0" w:color="auto"/>
        <w:left w:val="none" w:sz="0" w:space="0" w:color="auto"/>
        <w:bottom w:val="none" w:sz="0" w:space="0" w:color="auto"/>
        <w:right w:val="none" w:sz="0" w:space="0" w:color="auto"/>
      </w:divBdr>
    </w:div>
    <w:div w:id="1723825764">
      <w:bodyDiv w:val="1"/>
      <w:marLeft w:val="0"/>
      <w:marRight w:val="0"/>
      <w:marTop w:val="0"/>
      <w:marBottom w:val="0"/>
      <w:divBdr>
        <w:top w:val="none" w:sz="0" w:space="0" w:color="auto"/>
        <w:left w:val="none" w:sz="0" w:space="0" w:color="auto"/>
        <w:bottom w:val="none" w:sz="0" w:space="0" w:color="auto"/>
        <w:right w:val="none" w:sz="0" w:space="0" w:color="auto"/>
      </w:divBdr>
    </w:div>
    <w:div w:id="1770930187">
      <w:bodyDiv w:val="1"/>
      <w:marLeft w:val="0"/>
      <w:marRight w:val="0"/>
      <w:marTop w:val="0"/>
      <w:marBottom w:val="0"/>
      <w:divBdr>
        <w:top w:val="none" w:sz="0" w:space="0" w:color="auto"/>
        <w:left w:val="none" w:sz="0" w:space="0" w:color="auto"/>
        <w:bottom w:val="none" w:sz="0" w:space="0" w:color="auto"/>
        <w:right w:val="none" w:sz="0" w:space="0" w:color="auto"/>
      </w:divBdr>
    </w:div>
    <w:div w:id="1771852439">
      <w:bodyDiv w:val="1"/>
      <w:marLeft w:val="0"/>
      <w:marRight w:val="0"/>
      <w:marTop w:val="0"/>
      <w:marBottom w:val="0"/>
      <w:divBdr>
        <w:top w:val="none" w:sz="0" w:space="0" w:color="auto"/>
        <w:left w:val="none" w:sz="0" w:space="0" w:color="auto"/>
        <w:bottom w:val="none" w:sz="0" w:space="0" w:color="auto"/>
        <w:right w:val="none" w:sz="0" w:space="0" w:color="auto"/>
      </w:divBdr>
    </w:div>
    <w:div w:id="1782526176">
      <w:bodyDiv w:val="1"/>
      <w:marLeft w:val="0"/>
      <w:marRight w:val="0"/>
      <w:marTop w:val="0"/>
      <w:marBottom w:val="0"/>
      <w:divBdr>
        <w:top w:val="none" w:sz="0" w:space="0" w:color="auto"/>
        <w:left w:val="none" w:sz="0" w:space="0" w:color="auto"/>
        <w:bottom w:val="none" w:sz="0" w:space="0" w:color="auto"/>
        <w:right w:val="none" w:sz="0" w:space="0" w:color="auto"/>
      </w:divBdr>
    </w:div>
    <w:div w:id="1782873030">
      <w:bodyDiv w:val="1"/>
      <w:marLeft w:val="0"/>
      <w:marRight w:val="0"/>
      <w:marTop w:val="0"/>
      <w:marBottom w:val="0"/>
      <w:divBdr>
        <w:top w:val="none" w:sz="0" w:space="0" w:color="auto"/>
        <w:left w:val="none" w:sz="0" w:space="0" w:color="auto"/>
        <w:bottom w:val="none" w:sz="0" w:space="0" w:color="auto"/>
        <w:right w:val="none" w:sz="0" w:space="0" w:color="auto"/>
      </w:divBdr>
    </w:div>
    <w:div w:id="1793941839">
      <w:bodyDiv w:val="1"/>
      <w:marLeft w:val="0"/>
      <w:marRight w:val="0"/>
      <w:marTop w:val="0"/>
      <w:marBottom w:val="0"/>
      <w:divBdr>
        <w:top w:val="none" w:sz="0" w:space="0" w:color="auto"/>
        <w:left w:val="none" w:sz="0" w:space="0" w:color="auto"/>
        <w:bottom w:val="none" w:sz="0" w:space="0" w:color="auto"/>
        <w:right w:val="none" w:sz="0" w:space="0" w:color="auto"/>
      </w:divBdr>
    </w:div>
    <w:div w:id="1795319739">
      <w:bodyDiv w:val="1"/>
      <w:marLeft w:val="0"/>
      <w:marRight w:val="0"/>
      <w:marTop w:val="0"/>
      <w:marBottom w:val="0"/>
      <w:divBdr>
        <w:top w:val="none" w:sz="0" w:space="0" w:color="auto"/>
        <w:left w:val="none" w:sz="0" w:space="0" w:color="auto"/>
        <w:bottom w:val="none" w:sz="0" w:space="0" w:color="auto"/>
        <w:right w:val="none" w:sz="0" w:space="0" w:color="auto"/>
      </w:divBdr>
    </w:div>
    <w:div w:id="1809973794">
      <w:bodyDiv w:val="1"/>
      <w:marLeft w:val="0"/>
      <w:marRight w:val="0"/>
      <w:marTop w:val="0"/>
      <w:marBottom w:val="0"/>
      <w:divBdr>
        <w:top w:val="none" w:sz="0" w:space="0" w:color="auto"/>
        <w:left w:val="none" w:sz="0" w:space="0" w:color="auto"/>
        <w:bottom w:val="none" w:sz="0" w:space="0" w:color="auto"/>
        <w:right w:val="none" w:sz="0" w:space="0" w:color="auto"/>
      </w:divBdr>
      <w:divsChild>
        <w:div w:id="1384597709">
          <w:marLeft w:val="0"/>
          <w:marRight w:val="0"/>
          <w:marTop w:val="0"/>
          <w:marBottom w:val="0"/>
          <w:divBdr>
            <w:top w:val="none" w:sz="0" w:space="0" w:color="auto"/>
            <w:left w:val="none" w:sz="0" w:space="0" w:color="auto"/>
            <w:bottom w:val="none" w:sz="0" w:space="0" w:color="auto"/>
            <w:right w:val="none" w:sz="0" w:space="0" w:color="auto"/>
          </w:divBdr>
          <w:divsChild>
            <w:div w:id="176578789">
              <w:marLeft w:val="0"/>
              <w:marRight w:val="0"/>
              <w:marTop w:val="0"/>
              <w:marBottom w:val="0"/>
              <w:divBdr>
                <w:top w:val="none" w:sz="0" w:space="0" w:color="auto"/>
                <w:left w:val="none" w:sz="0" w:space="0" w:color="auto"/>
                <w:bottom w:val="none" w:sz="0" w:space="0" w:color="auto"/>
                <w:right w:val="none" w:sz="0" w:space="0" w:color="auto"/>
              </w:divBdr>
              <w:divsChild>
                <w:div w:id="1639645581">
                  <w:marLeft w:val="0"/>
                  <w:marRight w:val="0"/>
                  <w:marTop w:val="0"/>
                  <w:marBottom w:val="0"/>
                  <w:divBdr>
                    <w:top w:val="none" w:sz="0" w:space="0" w:color="auto"/>
                    <w:left w:val="none" w:sz="0" w:space="0" w:color="auto"/>
                    <w:bottom w:val="none" w:sz="0" w:space="0" w:color="auto"/>
                    <w:right w:val="none" w:sz="0" w:space="0" w:color="auto"/>
                  </w:divBdr>
                  <w:divsChild>
                    <w:div w:id="16496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77390">
      <w:bodyDiv w:val="1"/>
      <w:marLeft w:val="0"/>
      <w:marRight w:val="0"/>
      <w:marTop w:val="0"/>
      <w:marBottom w:val="0"/>
      <w:divBdr>
        <w:top w:val="none" w:sz="0" w:space="0" w:color="auto"/>
        <w:left w:val="none" w:sz="0" w:space="0" w:color="auto"/>
        <w:bottom w:val="none" w:sz="0" w:space="0" w:color="auto"/>
        <w:right w:val="none" w:sz="0" w:space="0" w:color="auto"/>
      </w:divBdr>
    </w:div>
    <w:div w:id="1820344440">
      <w:bodyDiv w:val="1"/>
      <w:marLeft w:val="0"/>
      <w:marRight w:val="0"/>
      <w:marTop w:val="0"/>
      <w:marBottom w:val="0"/>
      <w:divBdr>
        <w:top w:val="none" w:sz="0" w:space="0" w:color="auto"/>
        <w:left w:val="none" w:sz="0" w:space="0" w:color="auto"/>
        <w:bottom w:val="none" w:sz="0" w:space="0" w:color="auto"/>
        <w:right w:val="none" w:sz="0" w:space="0" w:color="auto"/>
      </w:divBdr>
    </w:div>
    <w:div w:id="1821341248">
      <w:bodyDiv w:val="1"/>
      <w:marLeft w:val="0"/>
      <w:marRight w:val="0"/>
      <w:marTop w:val="0"/>
      <w:marBottom w:val="0"/>
      <w:divBdr>
        <w:top w:val="none" w:sz="0" w:space="0" w:color="auto"/>
        <w:left w:val="none" w:sz="0" w:space="0" w:color="auto"/>
        <w:bottom w:val="none" w:sz="0" w:space="0" w:color="auto"/>
        <w:right w:val="none" w:sz="0" w:space="0" w:color="auto"/>
      </w:divBdr>
    </w:div>
    <w:div w:id="1826319218">
      <w:bodyDiv w:val="1"/>
      <w:marLeft w:val="0"/>
      <w:marRight w:val="0"/>
      <w:marTop w:val="0"/>
      <w:marBottom w:val="0"/>
      <w:divBdr>
        <w:top w:val="none" w:sz="0" w:space="0" w:color="auto"/>
        <w:left w:val="none" w:sz="0" w:space="0" w:color="auto"/>
        <w:bottom w:val="none" w:sz="0" w:space="0" w:color="auto"/>
        <w:right w:val="none" w:sz="0" w:space="0" w:color="auto"/>
      </w:divBdr>
    </w:div>
    <w:div w:id="1826386028">
      <w:bodyDiv w:val="1"/>
      <w:marLeft w:val="0"/>
      <w:marRight w:val="0"/>
      <w:marTop w:val="0"/>
      <w:marBottom w:val="0"/>
      <w:divBdr>
        <w:top w:val="none" w:sz="0" w:space="0" w:color="auto"/>
        <w:left w:val="none" w:sz="0" w:space="0" w:color="auto"/>
        <w:bottom w:val="none" w:sz="0" w:space="0" w:color="auto"/>
        <w:right w:val="none" w:sz="0" w:space="0" w:color="auto"/>
      </w:divBdr>
    </w:div>
    <w:div w:id="1835104148">
      <w:bodyDiv w:val="1"/>
      <w:marLeft w:val="0"/>
      <w:marRight w:val="0"/>
      <w:marTop w:val="0"/>
      <w:marBottom w:val="0"/>
      <w:divBdr>
        <w:top w:val="none" w:sz="0" w:space="0" w:color="auto"/>
        <w:left w:val="none" w:sz="0" w:space="0" w:color="auto"/>
        <w:bottom w:val="none" w:sz="0" w:space="0" w:color="auto"/>
        <w:right w:val="none" w:sz="0" w:space="0" w:color="auto"/>
      </w:divBdr>
    </w:div>
    <w:div w:id="1835801155">
      <w:bodyDiv w:val="1"/>
      <w:marLeft w:val="0"/>
      <w:marRight w:val="0"/>
      <w:marTop w:val="0"/>
      <w:marBottom w:val="0"/>
      <w:divBdr>
        <w:top w:val="none" w:sz="0" w:space="0" w:color="auto"/>
        <w:left w:val="none" w:sz="0" w:space="0" w:color="auto"/>
        <w:bottom w:val="none" w:sz="0" w:space="0" w:color="auto"/>
        <w:right w:val="none" w:sz="0" w:space="0" w:color="auto"/>
      </w:divBdr>
    </w:div>
    <w:div w:id="1836530241">
      <w:bodyDiv w:val="1"/>
      <w:marLeft w:val="0"/>
      <w:marRight w:val="0"/>
      <w:marTop w:val="0"/>
      <w:marBottom w:val="0"/>
      <w:divBdr>
        <w:top w:val="none" w:sz="0" w:space="0" w:color="auto"/>
        <w:left w:val="none" w:sz="0" w:space="0" w:color="auto"/>
        <w:bottom w:val="none" w:sz="0" w:space="0" w:color="auto"/>
        <w:right w:val="none" w:sz="0" w:space="0" w:color="auto"/>
      </w:divBdr>
    </w:div>
    <w:div w:id="1844860609">
      <w:bodyDiv w:val="1"/>
      <w:marLeft w:val="0"/>
      <w:marRight w:val="0"/>
      <w:marTop w:val="0"/>
      <w:marBottom w:val="0"/>
      <w:divBdr>
        <w:top w:val="none" w:sz="0" w:space="0" w:color="auto"/>
        <w:left w:val="none" w:sz="0" w:space="0" w:color="auto"/>
        <w:bottom w:val="none" w:sz="0" w:space="0" w:color="auto"/>
        <w:right w:val="none" w:sz="0" w:space="0" w:color="auto"/>
      </w:divBdr>
    </w:div>
    <w:div w:id="1859923853">
      <w:bodyDiv w:val="1"/>
      <w:marLeft w:val="0"/>
      <w:marRight w:val="0"/>
      <w:marTop w:val="0"/>
      <w:marBottom w:val="0"/>
      <w:divBdr>
        <w:top w:val="none" w:sz="0" w:space="0" w:color="auto"/>
        <w:left w:val="none" w:sz="0" w:space="0" w:color="auto"/>
        <w:bottom w:val="none" w:sz="0" w:space="0" w:color="auto"/>
        <w:right w:val="none" w:sz="0" w:space="0" w:color="auto"/>
      </w:divBdr>
    </w:div>
    <w:div w:id="1869374497">
      <w:bodyDiv w:val="1"/>
      <w:marLeft w:val="0"/>
      <w:marRight w:val="0"/>
      <w:marTop w:val="0"/>
      <w:marBottom w:val="0"/>
      <w:divBdr>
        <w:top w:val="none" w:sz="0" w:space="0" w:color="auto"/>
        <w:left w:val="none" w:sz="0" w:space="0" w:color="auto"/>
        <w:bottom w:val="none" w:sz="0" w:space="0" w:color="auto"/>
        <w:right w:val="none" w:sz="0" w:space="0" w:color="auto"/>
      </w:divBdr>
    </w:div>
    <w:div w:id="1870140645">
      <w:bodyDiv w:val="1"/>
      <w:marLeft w:val="0"/>
      <w:marRight w:val="0"/>
      <w:marTop w:val="0"/>
      <w:marBottom w:val="0"/>
      <w:divBdr>
        <w:top w:val="none" w:sz="0" w:space="0" w:color="auto"/>
        <w:left w:val="none" w:sz="0" w:space="0" w:color="auto"/>
        <w:bottom w:val="none" w:sz="0" w:space="0" w:color="auto"/>
        <w:right w:val="none" w:sz="0" w:space="0" w:color="auto"/>
      </w:divBdr>
    </w:div>
    <w:div w:id="1875262520">
      <w:bodyDiv w:val="1"/>
      <w:marLeft w:val="0"/>
      <w:marRight w:val="0"/>
      <w:marTop w:val="0"/>
      <w:marBottom w:val="0"/>
      <w:divBdr>
        <w:top w:val="none" w:sz="0" w:space="0" w:color="auto"/>
        <w:left w:val="none" w:sz="0" w:space="0" w:color="auto"/>
        <w:bottom w:val="none" w:sz="0" w:space="0" w:color="auto"/>
        <w:right w:val="none" w:sz="0" w:space="0" w:color="auto"/>
      </w:divBdr>
    </w:div>
    <w:div w:id="1886287218">
      <w:bodyDiv w:val="1"/>
      <w:marLeft w:val="0"/>
      <w:marRight w:val="0"/>
      <w:marTop w:val="0"/>
      <w:marBottom w:val="0"/>
      <w:divBdr>
        <w:top w:val="none" w:sz="0" w:space="0" w:color="auto"/>
        <w:left w:val="none" w:sz="0" w:space="0" w:color="auto"/>
        <w:bottom w:val="none" w:sz="0" w:space="0" w:color="auto"/>
        <w:right w:val="none" w:sz="0" w:space="0" w:color="auto"/>
      </w:divBdr>
    </w:div>
    <w:div w:id="1887448454">
      <w:bodyDiv w:val="1"/>
      <w:marLeft w:val="0"/>
      <w:marRight w:val="0"/>
      <w:marTop w:val="0"/>
      <w:marBottom w:val="0"/>
      <w:divBdr>
        <w:top w:val="none" w:sz="0" w:space="0" w:color="auto"/>
        <w:left w:val="none" w:sz="0" w:space="0" w:color="auto"/>
        <w:bottom w:val="none" w:sz="0" w:space="0" w:color="auto"/>
        <w:right w:val="none" w:sz="0" w:space="0" w:color="auto"/>
      </w:divBdr>
    </w:div>
    <w:div w:id="1890602408">
      <w:bodyDiv w:val="1"/>
      <w:marLeft w:val="0"/>
      <w:marRight w:val="0"/>
      <w:marTop w:val="0"/>
      <w:marBottom w:val="0"/>
      <w:divBdr>
        <w:top w:val="none" w:sz="0" w:space="0" w:color="auto"/>
        <w:left w:val="none" w:sz="0" w:space="0" w:color="auto"/>
        <w:bottom w:val="none" w:sz="0" w:space="0" w:color="auto"/>
        <w:right w:val="none" w:sz="0" w:space="0" w:color="auto"/>
      </w:divBdr>
      <w:divsChild>
        <w:div w:id="1516383995">
          <w:marLeft w:val="0"/>
          <w:marRight w:val="0"/>
          <w:marTop w:val="0"/>
          <w:marBottom w:val="0"/>
          <w:divBdr>
            <w:top w:val="none" w:sz="0" w:space="0" w:color="auto"/>
            <w:left w:val="none" w:sz="0" w:space="0" w:color="auto"/>
            <w:bottom w:val="none" w:sz="0" w:space="0" w:color="auto"/>
            <w:right w:val="none" w:sz="0" w:space="0" w:color="auto"/>
          </w:divBdr>
          <w:divsChild>
            <w:div w:id="1160462963">
              <w:marLeft w:val="0"/>
              <w:marRight w:val="0"/>
              <w:marTop w:val="0"/>
              <w:marBottom w:val="0"/>
              <w:divBdr>
                <w:top w:val="none" w:sz="0" w:space="0" w:color="auto"/>
                <w:left w:val="none" w:sz="0" w:space="0" w:color="auto"/>
                <w:bottom w:val="none" w:sz="0" w:space="0" w:color="auto"/>
                <w:right w:val="none" w:sz="0" w:space="0" w:color="auto"/>
              </w:divBdr>
              <w:divsChild>
                <w:div w:id="973221086">
                  <w:marLeft w:val="0"/>
                  <w:marRight w:val="0"/>
                  <w:marTop w:val="0"/>
                  <w:marBottom w:val="0"/>
                  <w:divBdr>
                    <w:top w:val="none" w:sz="0" w:space="0" w:color="auto"/>
                    <w:left w:val="none" w:sz="0" w:space="0" w:color="auto"/>
                    <w:bottom w:val="none" w:sz="0" w:space="0" w:color="auto"/>
                    <w:right w:val="none" w:sz="0" w:space="0" w:color="auto"/>
                  </w:divBdr>
                  <w:divsChild>
                    <w:div w:id="20912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0431">
      <w:bodyDiv w:val="1"/>
      <w:marLeft w:val="0"/>
      <w:marRight w:val="0"/>
      <w:marTop w:val="0"/>
      <w:marBottom w:val="0"/>
      <w:divBdr>
        <w:top w:val="none" w:sz="0" w:space="0" w:color="auto"/>
        <w:left w:val="none" w:sz="0" w:space="0" w:color="auto"/>
        <w:bottom w:val="none" w:sz="0" w:space="0" w:color="auto"/>
        <w:right w:val="none" w:sz="0" w:space="0" w:color="auto"/>
      </w:divBdr>
    </w:div>
    <w:div w:id="1913730285">
      <w:bodyDiv w:val="1"/>
      <w:marLeft w:val="0"/>
      <w:marRight w:val="0"/>
      <w:marTop w:val="0"/>
      <w:marBottom w:val="0"/>
      <w:divBdr>
        <w:top w:val="none" w:sz="0" w:space="0" w:color="auto"/>
        <w:left w:val="none" w:sz="0" w:space="0" w:color="auto"/>
        <w:bottom w:val="none" w:sz="0" w:space="0" w:color="auto"/>
        <w:right w:val="none" w:sz="0" w:space="0" w:color="auto"/>
      </w:divBdr>
    </w:div>
    <w:div w:id="1915891252">
      <w:bodyDiv w:val="1"/>
      <w:marLeft w:val="0"/>
      <w:marRight w:val="0"/>
      <w:marTop w:val="0"/>
      <w:marBottom w:val="0"/>
      <w:divBdr>
        <w:top w:val="none" w:sz="0" w:space="0" w:color="auto"/>
        <w:left w:val="none" w:sz="0" w:space="0" w:color="auto"/>
        <w:bottom w:val="none" w:sz="0" w:space="0" w:color="auto"/>
        <w:right w:val="none" w:sz="0" w:space="0" w:color="auto"/>
      </w:divBdr>
    </w:div>
    <w:div w:id="1922635559">
      <w:bodyDiv w:val="1"/>
      <w:marLeft w:val="0"/>
      <w:marRight w:val="0"/>
      <w:marTop w:val="0"/>
      <w:marBottom w:val="0"/>
      <w:divBdr>
        <w:top w:val="none" w:sz="0" w:space="0" w:color="auto"/>
        <w:left w:val="none" w:sz="0" w:space="0" w:color="auto"/>
        <w:bottom w:val="none" w:sz="0" w:space="0" w:color="auto"/>
        <w:right w:val="none" w:sz="0" w:space="0" w:color="auto"/>
      </w:divBdr>
    </w:div>
    <w:div w:id="1923098186">
      <w:bodyDiv w:val="1"/>
      <w:marLeft w:val="0"/>
      <w:marRight w:val="0"/>
      <w:marTop w:val="0"/>
      <w:marBottom w:val="0"/>
      <w:divBdr>
        <w:top w:val="none" w:sz="0" w:space="0" w:color="auto"/>
        <w:left w:val="none" w:sz="0" w:space="0" w:color="auto"/>
        <w:bottom w:val="none" w:sz="0" w:space="0" w:color="auto"/>
        <w:right w:val="none" w:sz="0" w:space="0" w:color="auto"/>
      </w:divBdr>
    </w:div>
    <w:div w:id="1925382671">
      <w:bodyDiv w:val="1"/>
      <w:marLeft w:val="0"/>
      <w:marRight w:val="0"/>
      <w:marTop w:val="0"/>
      <w:marBottom w:val="0"/>
      <w:divBdr>
        <w:top w:val="none" w:sz="0" w:space="0" w:color="auto"/>
        <w:left w:val="none" w:sz="0" w:space="0" w:color="auto"/>
        <w:bottom w:val="none" w:sz="0" w:space="0" w:color="auto"/>
        <w:right w:val="none" w:sz="0" w:space="0" w:color="auto"/>
      </w:divBdr>
    </w:div>
    <w:div w:id="1943298207">
      <w:bodyDiv w:val="1"/>
      <w:marLeft w:val="0"/>
      <w:marRight w:val="0"/>
      <w:marTop w:val="0"/>
      <w:marBottom w:val="0"/>
      <w:divBdr>
        <w:top w:val="none" w:sz="0" w:space="0" w:color="auto"/>
        <w:left w:val="none" w:sz="0" w:space="0" w:color="auto"/>
        <w:bottom w:val="none" w:sz="0" w:space="0" w:color="auto"/>
        <w:right w:val="none" w:sz="0" w:space="0" w:color="auto"/>
      </w:divBdr>
    </w:div>
    <w:div w:id="1943953467">
      <w:bodyDiv w:val="1"/>
      <w:marLeft w:val="0"/>
      <w:marRight w:val="0"/>
      <w:marTop w:val="0"/>
      <w:marBottom w:val="0"/>
      <w:divBdr>
        <w:top w:val="none" w:sz="0" w:space="0" w:color="auto"/>
        <w:left w:val="none" w:sz="0" w:space="0" w:color="auto"/>
        <w:bottom w:val="none" w:sz="0" w:space="0" w:color="auto"/>
        <w:right w:val="none" w:sz="0" w:space="0" w:color="auto"/>
      </w:divBdr>
    </w:div>
    <w:div w:id="1944218682">
      <w:bodyDiv w:val="1"/>
      <w:marLeft w:val="0"/>
      <w:marRight w:val="0"/>
      <w:marTop w:val="0"/>
      <w:marBottom w:val="0"/>
      <w:divBdr>
        <w:top w:val="none" w:sz="0" w:space="0" w:color="auto"/>
        <w:left w:val="none" w:sz="0" w:space="0" w:color="auto"/>
        <w:bottom w:val="none" w:sz="0" w:space="0" w:color="auto"/>
        <w:right w:val="none" w:sz="0" w:space="0" w:color="auto"/>
      </w:divBdr>
    </w:div>
    <w:div w:id="1963337964">
      <w:bodyDiv w:val="1"/>
      <w:marLeft w:val="0"/>
      <w:marRight w:val="0"/>
      <w:marTop w:val="0"/>
      <w:marBottom w:val="0"/>
      <w:divBdr>
        <w:top w:val="none" w:sz="0" w:space="0" w:color="auto"/>
        <w:left w:val="none" w:sz="0" w:space="0" w:color="auto"/>
        <w:bottom w:val="none" w:sz="0" w:space="0" w:color="auto"/>
        <w:right w:val="none" w:sz="0" w:space="0" w:color="auto"/>
      </w:divBdr>
    </w:div>
    <w:div w:id="1975021986">
      <w:bodyDiv w:val="1"/>
      <w:marLeft w:val="0"/>
      <w:marRight w:val="0"/>
      <w:marTop w:val="0"/>
      <w:marBottom w:val="0"/>
      <w:divBdr>
        <w:top w:val="none" w:sz="0" w:space="0" w:color="auto"/>
        <w:left w:val="none" w:sz="0" w:space="0" w:color="auto"/>
        <w:bottom w:val="none" w:sz="0" w:space="0" w:color="auto"/>
        <w:right w:val="none" w:sz="0" w:space="0" w:color="auto"/>
      </w:divBdr>
    </w:div>
    <w:div w:id="1975865250">
      <w:bodyDiv w:val="1"/>
      <w:marLeft w:val="0"/>
      <w:marRight w:val="0"/>
      <w:marTop w:val="0"/>
      <w:marBottom w:val="0"/>
      <w:divBdr>
        <w:top w:val="none" w:sz="0" w:space="0" w:color="auto"/>
        <w:left w:val="none" w:sz="0" w:space="0" w:color="auto"/>
        <w:bottom w:val="none" w:sz="0" w:space="0" w:color="auto"/>
        <w:right w:val="none" w:sz="0" w:space="0" w:color="auto"/>
      </w:divBdr>
    </w:div>
    <w:div w:id="1986083943">
      <w:bodyDiv w:val="1"/>
      <w:marLeft w:val="0"/>
      <w:marRight w:val="0"/>
      <w:marTop w:val="0"/>
      <w:marBottom w:val="0"/>
      <w:divBdr>
        <w:top w:val="none" w:sz="0" w:space="0" w:color="auto"/>
        <w:left w:val="none" w:sz="0" w:space="0" w:color="auto"/>
        <w:bottom w:val="none" w:sz="0" w:space="0" w:color="auto"/>
        <w:right w:val="none" w:sz="0" w:space="0" w:color="auto"/>
      </w:divBdr>
    </w:div>
    <w:div w:id="1986929459">
      <w:bodyDiv w:val="1"/>
      <w:marLeft w:val="0"/>
      <w:marRight w:val="0"/>
      <w:marTop w:val="0"/>
      <w:marBottom w:val="0"/>
      <w:divBdr>
        <w:top w:val="none" w:sz="0" w:space="0" w:color="auto"/>
        <w:left w:val="none" w:sz="0" w:space="0" w:color="auto"/>
        <w:bottom w:val="none" w:sz="0" w:space="0" w:color="auto"/>
        <w:right w:val="none" w:sz="0" w:space="0" w:color="auto"/>
      </w:divBdr>
    </w:div>
    <w:div w:id="2004896560">
      <w:bodyDiv w:val="1"/>
      <w:marLeft w:val="0"/>
      <w:marRight w:val="0"/>
      <w:marTop w:val="0"/>
      <w:marBottom w:val="0"/>
      <w:divBdr>
        <w:top w:val="none" w:sz="0" w:space="0" w:color="auto"/>
        <w:left w:val="none" w:sz="0" w:space="0" w:color="auto"/>
        <w:bottom w:val="none" w:sz="0" w:space="0" w:color="auto"/>
        <w:right w:val="none" w:sz="0" w:space="0" w:color="auto"/>
      </w:divBdr>
    </w:div>
    <w:div w:id="2008945308">
      <w:bodyDiv w:val="1"/>
      <w:marLeft w:val="0"/>
      <w:marRight w:val="0"/>
      <w:marTop w:val="0"/>
      <w:marBottom w:val="0"/>
      <w:divBdr>
        <w:top w:val="none" w:sz="0" w:space="0" w:color="auto"/>
        <w:left w:val="none" w:sz="0" w:space="0" w:color="auto"/>
        <w:bottom w:val="none" w:sz="0" w:space="0" w:color="auto"/>
        <w:right w:val="none" w:sz="0" w:space="0" w:color="auto"/>
      </w:divBdr>
    </w:div>
    <w:div w:id="2020620379">
      <w:bodyDiv w:val="1"/>
      <w:marLeft w:val="0"/>
      <w:marRight w:val="0"/>
      <w:marTop w:val="0"/>
      <w:marBottom w:val="0"/>
      <w:divBdr>
        <w:top w:val="none" w:sz="0" w:space="0" w:color="auto"/>
        <w:left w:val="none" w:sz="0" w:space="0" w:color="auto"/>
        <w:bottom w:val="none" w:sz="0" w:space="0" w:color="auto"/>
        <w:right w:val="none" w:sz="0" w:space="0" w:color="auto"/>
      </w:divBdr>
    </w:div>
    <w:div w:id="2022705157">
      <w:bodyDiv w:val="1"/>
      <w:marLeft w:val="0"/>
      <w:marRight w:val="0"/>
      <w:marTop w:val="0"/>
      <w:marBottom w:val="0"/>
      <w:divBdr>
        <w:top w:val="none" w:sz="0" w:space="0" w:color="auto"/>
        <w:left w:val="none" w:sz="0" w:space="0" w:color="auto"/>
        <w:bottom w:val="none" w:sz="0" w:space="0" w:color="auto"/>
        <w:right w:val="none" w:sz="0" w:space="0" w:color="auto"/>
      </w:divBdr>
    </w:div>
    <w:div w:id="2042512301">
      <w:bodyDiv w:val="1"/>
      <w:marLeft w:val="0"/>
      <w:marRight w:val="0"/>
      <w:marTop w:val="0"/>
      <w:marBottom w:val="0"/>
      <w:divBdr>
        <w:top w:val="none" w:sz="0" w:space="0" w:color="auto"/>
        <w:left w:val="none" w:sz="0" w:space="0" w:color="auto"/>
        <w:bottom w:val="none" w:sz="0" w:space="0" w:color="auto"/>
        <w:right w:val="none" w:sz="0" w:space="0" w:color="auto"/>
      </w:divBdr>
    </w:div>
    <w:div w:id="2061437175">
      <w:bodyDiv w:val="1"/>
      <w:marLeft w:val="0"/>
      <w:marRight w:val="0"/>
      <w:marTop w:val="0"/>
      <w:marBottom w:val="0"/>
      <w:divBdr>
        <w:top w:val="none" w:sz="0" w:space="0" w:color="auto"/>
        <w:left w:val="none" w:sz="0" w:space="0" w:color="auto"/>
        <w:bottom w:val="none" w:sz="0" w:space="0" w:color="auto"/>
        <w:right w:val="none" w:sz="0" w:space="0" w:color="auto"/>
      </w:divBdr>
    </w:div>
    <w:div w:id="2063671074">
      <w:bodyDiv w:val="1"/>
      <w:marLeft w:val="0"/>
      <w:marRight w:val="0"/>
      <w:marTop w:val="0"/>
      <w:marBottom w:val="0"/>
      <w:divBdr>
        <w:top w:val="none" w:sz="0" w:space="0" w:color="auto"/>
        <w:left w:val="none" w:sz="0" w:space="0" w:color="auto"/>
        <w:bottom w:val="none" w:sz="0" w:space="0" w:color="auto"/>
        <w:right w:val="none" w:sz="0" w:space="0" w:color="auto"/>
      </w:divBdr>
    </w:div>
    <w:div w:id="2064479228">
      <w:bodyDiv w:val="1"/>
      <w:marLeft w:val="0"/>
      <w:marRight w:val="0"/>
      <w:marTop w:val="0"/>
      <w:marBottom w:val="0"/>
      <w:divBdr>
        <w:top w:val="none" w:sz="0" w:space="0" w:color="auto"/>
        <w:left w:val="none" w:sz="0" w:space="0" w:color="auto"/>
        <w:bottom w:val="none" w:sz="0" w:space="0" w:color="auto"/>
        <w:right w:val="none" w:sz="0" w:space="0" w:color="auto"/>
      </w:divBdr>
    </w:div>
    <w:div w:id="2069184079">
      <w:bodyDiv w:val="1"/>
      <w:marLeft w:val="0"/>
      <w:marRight w:val="0"/>
      <w:marTop w:val="0"/>
      <w:marBottom w:val="0"/>
      <w:divBdr>
        <w:top w:val="none" w:sz="0" w:space="0" w:color="auto"/>
        <w:left w:val="none" w:sz="0" w:space="0" w:color="auto"/>
        <w:bottom w:val="none" w:sz="0" w:space="0" w:color="auto"/>
        <w:right w:val="none" w:sz="0" w:space="0" w:color="auto"/>
      </w:divBdr>
    </w:div>
    <w:div w:id="2069259837">
      <w:bodyDiv w:val="1"/>
      <w:marLeft w:val="0"/>
      <w:marRight w:val="0"/>
      <w:marTop w:val="0"/>
      <w:marBottom w:val="0"/>
      <w:divBdr>
        <w:top w:val="none" w:sz="0" w:space="0" w:color="auto"/>
        <w:left w:val="none" w:sz="0" w:space="0" w:color="auto"/>
        <w:bottom w:val="none" w:sz="0" w:space="0" w:color="auto"/>
        <w:right w:val="none" w:sz="0" w:space="0" w:color="auto"/>
      </w:divBdr>
    </w:div>
    <w:div w:id="2071464177">
      <w:bodyDiv w:val="1"/>
      <w:marLeft w:val="0"/>
      <w:marRight w:val="0"/>
      <w:marTop w:val="0"/>
      <w:marBottom w:val="0"/>
      <w:divBdr>
        <w:top w:val="none" w:sz="0" w:space="0" w:color="auto"/>
        <w:left w:val="none" w:sz="0" w:space="0" w:color="auto"/>
        <w:bottom w:val="none" w:sz="0" w:space="0" w:color="auto"/>
        <w:right w:val="none" w:sz="0" w:space="0" w:color="auto"/>
      </w:divBdr>
    </w:div>
    <w:div w:id="2072388440">
      <w:bodyDiv w:val="1"/>
      <w:marLeft w:val="0"/>
      <w:marRight w:val="0"/>
      <w:marTop w:val="0"/>
      <w:marBottom w:val="0"/>
      <w:divBdr>
        <w:top w:val="none" w:sz="0" w:space="0" w:color="auto"/>
        <w:left w:val="none" w:sz="0" w:space="0" w:color="auto"/>
        <w:bottom w:val="none" w:sz="0" w:space="0" w:color="auto"/>
        <w:right w:val="none" w:sz="0" w:space="0" w:color="auto"/>
      </w:divBdr>
    </w:div>
    <w:div w:id="2075422480">
      <w:bodyDiv w:val="1"/>
      <w:marLeft w:val="0"/>
      <w:marRight w:val="0"/>
      <w:marTop w:val="0"/>
      <w:marBottom w:val="0"/>
      <w:divBdr>
        <w:top w:val="none" w:sz="0" w:space="0" w:color="auto"/>
        <w:left w:val="none" w:sz="0" w:space="0" w:color="auto"/>
        <w:bottom w:val="none" w:sz="0" w:space="0" w:color="auto"/>
        <w:right w:val="none" w:sz="0" w:space="0" w:color="auto"/>
      </w:divBdr>
    </w:div>
    <w:div w:id="2083288192">
      <w:bodyDiv w:val="1"/>
      <w:marLeft w:val="0"/>
      <w:marRight w:val="0"/>
      <w:marTop w:val="0"/>
      <w:marBottom w:val="0"/>
      <w:divBdr>
        <w:top w:val="none" w:sz="0" w:space="0" w:color="auto"/>
        <w:left w:val="none" w:sz="0" w:space="0" w:color="auto"/>
        <w:bottom w:val="none" w:sz="0" w:space="0" w:color="auto"/>
        <w:right w:val="none" w:sz="0" w:space="0" w:color="auto"/>
      </w:divBdr>
    </w:div>
    <w:div w:id="2089619241">
      <w:bodyDiv w:val="1"/>
      <w:marLeft w:val="0"/>
      <w:marRight w:val="0"/>
      <w:marTop w:val="0"/>
      <w:marBottom w:val="0"/>
      <w:divBdr>
        <w:top w:val="none" w:sz="0" w:space="0" w:color="auto"/>
        <w:left w:val="none" w:sz="0" w:space="0" w:color="auto"/>
        <w:bottom w:val="none" w:sz="0" w:space="0" w:color="auto"/>
        <w:right w:val="none" w:sz="0" w:space="0" w:color="auto"/>
      </w:divBdr>
    </w:div>
    <w:div w:id="2132745011">
      <w:bodyDiv w:val="1"/>
      <w:marLeft w:val="0"/>
      <w:marRight w:val="0"/>
      <w:marTop w:val="0"/>
      <w:marBottom w:val="0"/>
      <w:divBdr>
        <w:top w:val="none" w:sz="0" w:space="0" w:color="auto"/>
        <w:left w:val="none" w:sz="0" w:space="0" w:color="auto"/>
        <w:bottom w:val="none" w:sz="0" w:space="0" w:color="auto"/>
        <w:right w:val="none" w:sz="0" w:space="0" w:color="auto"/>
      </w:divBdr>
      <w:divsChild>
        <w:div w:id="652031637">
          <w:marLeft w:val="0"/>
          <w:marRight w:val="0"/>
          <w:marTop w:val="0"/>
          <w:marBottom w:val="0"/>
          <w:divBdr>
            <w:top w:val="none" w:sz="0" w:space="0" w:color="auto"/>
            <w:left w:val="none" w:sz="0" w:space="0" w:color="auto"/>
            <w:bottom w:val="none" w:sz="0" w:space="0" w:color="auto"/>
            <w:right w:val="none" w:sz="0" w:space="0" w:color="auto"/>
          </w:divBdr>
          <w:divsChild>
            <w:div w:id="737023772">
              <w:marLeft w:val="0"/>
              <w:marRight w:val="0"/>
              <w:marTop w:val="0"/>
              <w:marBottom w:val="0"/>
              <w:divBdr>
                <w:top w:val="none" w:sz="0" w:space="0" w:color="auto"/>
                <w:left w:val="none" w:sz="0" w:space="0" w:color="auto"/>
                <w:bottom w:val="none" w:sz="0" w:space="0" w:color="auto"/>
                <w:right w:val="none" w:sz="0" w:space="0" w:color="auto"/>
              </w:divBdr>
              <w:divsChild>
                <w:div w:id="1214462621">
                  <w:marLeft w:val="0"/>
                  <w:marRight w:val="0"/>
                  <w:marTop w:val="0"/>
                  <w:marBottom w:val="0"/>
                  <w:divBdr>
                    <w:top w:val="none" w:sz="0" w:space="0" w:color="auto"/>
                    <w:left w:val="none" w:sz="0" w:space="0" w:color="auto"/>
                    <w:bottom w:val="none" w:sz="0" w:space="0" w:color="auto"/>
                    <w:right w:val="none" w:sz="0" w:space="0" w:color="auto"/>
                  </w:divBdr>
                  <w:divsChild>
                    <w:div w:id="5795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state.gov/historicaldocuments/frus1919v02/pg_253" TargetMode="External"/><Relationship Id="rId13" Type="http://schemas.openxmlformats.org/officeDocument/2006/relationships/hyperlink" Target="https://www.history.com/topics/early-20th-century-us/spanish-american-war" TargetMode="External"/><Relationship Id="rId18" Type="http://schemas.openxmlformats.org/officeDocument/2006/relationships/hyperlink" Target="https://history.state.gov/historicaldocuments/frus1919v02/d1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history.state.gov/historicaldocuments/frus1918Supp01v01/d543" TargetMode="External"/><Relationship Id="rId17" Type="http://schemas.openxmlformats.org/officeDocument/2006/relationships/hyperlink" Target="https://history.state.gov/historicaldocuments/frus1919v02/d20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istory.state.gov/historicaldocuments/frus1919v02/pg_252" TargetMode="External"/><Relationship Id="rId20" Type="http://schemas.openxmlformats.org/officeDocument/2006/relationships/hyperlink" Target="https://history.state.gov/historicaldocuments/frus1921v02/d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tory.state.gov/historicaldocuments/frus1920v02/d54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istory.state.gov/historicaldocuments/frus1919v02/d199" TargetMode="External"/><Relationship Id="rId23" Type="http://schemas.openxmlformats.org/officeDocument/2006/relationships/image" Target="media/image3.png"/><Relationship Id="rId10" Type="http://schemas.openxmlformats.org/officeDocument/2006/relationships/hyperlink" Target="https://history.state.gov/historicaldocuments/frus1920v02/d548" TargetMode="External"/><Relationship Id="rId19" Type="http://schemas.openxmlformats.org/officeDocument/2006/relationships/hyperlink" Target="https://avalon.law.yale.edu/20th_century/leagcov.asp" TargetMode="External"/><Relationship Id="rId4" Type="http://schemas.openxmlformats.org/officeDocument/2006/relationships/settings" Target="settings.xml"/><Relationship Id="rId9" Type="http://schemas.openxmlformats.org/officeDocument/2006/relationships/hyperlink" Target="https://net.lib.byu.edu/~rdh7/wwi/1915/bryce/a12.htm" TargetMode="External"/><Relationship Id="rId14" Type="http://schemas.openxmlformats.org/officeDocument/2006/relationships/hyperlink" Target="https://www.scmp.com/business/article/1933745/south-" TargetMode="External"/><Relationship Id="rId22" Type="http://schemas.openxmlformats.org/officeDocument/2006/relationships/image" Target="media/image2.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et.lib.byu.edu/~rdh7/wwi/1915/bryce/a12.htm" TargetMode="External"/><Relationship Id="rId3" Type="http://schemas.openxmlformats.org/officeDocument/2006/relationships/hyperlink" Target="https://avalon.law.yale.edu/20th_century/leagcov.asp" TargetMode="External"/><Relationship Id="rId7" Type="http://schemas.openxmlformats.org/officeDocument/2006/relationships/hyperlink" Target="https://history.state.gov/historicaldocuments/frus1919v02/d204" TargetMode="External"/><Relationship Id="rId2" Type="http://schemas.openxmlformats.org/officeDocument/2006/relationships/hyperlink" Target="https://www.history.com/topics/early-20th-century-us/spanish-american-war" TargetMode="External"/><Relationship Id="rId1" Type="http://schemas.openxmlformats.org/officeDocument/2006/relationships/hyperlink" Target="https://history.state.gov/historicaldocuments/frus1920v02/d548" TargetMode="External"/><Relationship Id="rId6" Type="http://schemas.openxmlformats.org/officeDocument/2006/relationships/hyperlink" Target="https://history.state.gov/historicaldocuments/frus1919v02/pg_253" TargetMode="External"/><Relationship Id="rId5" Type="http://schemas.openxmlformats.org/officeDocument/2006/relationships/hyperlink" Target="https://history.state.gov/historicaldocuments/frus1919v02/pg_252" TargetMode="External"/><Relationship Id="rId4" Type="http://schemas.openxmlformats.org/officeDocument/2006/relationships/hyperlink" Target="https://history.state.gov/historicaldocuments/frus1921v02/d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Bre88</b:Tag>
    <b:SourceType>JournalArticle</b:SourceType>
    <b:Guid>{EAF3BDDA-0E17-A242-9C60-CFE6D2BFF7F2}</b:Guid>
    <b:Author>
      <b:Author>
        <b:NameList>
          <b:Person>
            <b:Last>Brecher</b:Last>
            <b:First>F.</b:First>
            <b:Middle>W.</b:Middle>
          </b:Person>
        </b:NameList>
      </b:Author>
    </b:Author>
    <b:Title>Charles R. Crane's crusade for the Arabs, 1919 - 1939</b:Title>
    <b:Year>1988</b:Year>
    <b:JournalName>Middle Eastern Studies </b:JournalName>
    <b:Pages>42-55</b:Pages>
    <b:RefOrder>1</b:RefOrder>
  </b:Source>
  <b:Source>
    <b:Tag>EJD01</b:Tag>
    <b:SourceType>Report</b:SourceType>
    <b:Guid>{DF25EBEC-C33C-104D-80E3-2824FFD3DE61}</b:Guid>
    <b:Author>
      <b:Author>
        <b:NameList>
          <b:Person>
            <b:Last>Dahl</b:Last>
            <b:First>E.</b:First>
            <b:Middle>J.</b:Middle>
          </b:Person>
        </b:NameList>
      </b:Author>
    </b:Author>
    <b:Title>Naval Innovation: From Coal to Oil</b:Title>
    <b:Year>2001</b:Year>
    <b:Publisher>Institute for National Strategic Studies </b:Publisher>
    <b:City>Washington, D.C</b:City>
    <b:RefOrder>2</b:RefOrder>
  </b:Source>
  <b:Source>
    <b:Tag>DLe07</b:Tag>
    <b:SourceType>BookSection</b:SourceType>
    <b:Guid>{4C5B4749-A821-AA48-93AC-E379DA3E0F03}</b:Guid>
    <b:Title>The Ironic Legacy of the King - Crane Commission </b:Title>
    <b:Publisher>Westview Press </b:Publisher>
    <b:City>Boulder, CO</b:City>
    <b:Year>2007</b:Year>
    <b:Author>
      <b:Author>
        <b:NameList>
          <b:Person>
            <b:Last>Lesch</b:Last>
            <b:First>D.</b:First>
          </b:Person>
        </b:NameList>
      </b:Author>
      <b:BookAuthor>
        <b:NameList>
          <b:Person>
            <b:Last>Gelvin</b:Last>
            <b:First>J.</b:First>
          </b:Person>
        </b:NameList>
      </b:BookAuthor>
    </b:Author>
    <b:BookTitle>The Middle East and the United States: A Historical and Political Reassessment </b:BookTitle>
    <b:Pages>13 - 29 </b:Pages>
    <b:RefOrder>3</b:RefOrder>
  </b:Source>
  <b:Source>
    <b:Tag>CHa20</b:Tag>
    <b:SourceType>InternetSite</b:SourceType>
    <b:Guid>{A3804C58-6B68-C84C-A00F-4E1170B5F895}</b:Guid>
    <b:Author>
      <b:Author>
        <b:NameList>
          <b:Person>
            <b:Last>Hasau</b:Last>
            <b:First>C.</b:First>
          </b:Person>
        </b:NameList>
      </b:Author>
    </b:Author>
    <b:Title>The Siege of Kut in Number </b:Title>
    <b:URL>https://interactive.aljazeera.com/ajt/2016/kutul-amare/en/credits.html</b:URL>
    <b:YearAccessed>2020</b:YearAccessed>
    <b:RefOrder>4</b:RefOrder>
  </b:Source>
  <b:Source>
    <b:Tag>MHu99</b:Tag>
    <b:SourceType>Book</b:SourceType>
    <b:Guid>{AB9E712F-B1A9-F843-94FD-3D6F2862C158}</b:Guid>
    <b:Author>
      <b:Author>
        <b:NameList>
          <b:Person>
            <b:Last>Hughes</b:Last>
            <b:First>M.</b:First>
          </b:Person>
        </b:NameList>
      </b:Author>
    </b:Author>
    <b:Title>Allenby and British Strategy in the Middle East, 1917 - 1919 </b:Title>
    <b:City>London</b:City>
    <b:Publisher>Cass</b:Publisher>
    <b:Year>1999</b:Year>
    <b:RefOrder>5</b:RefOrder>
  </b:Source>
  <b:Source>
    <b:Tag>MKe76</b:Tag>
    <b:SourceType>Book</b:SourceType>
    <b:Guid>{4642E54F-C6C3-7A48-918A-0E2008D57898}</b:Guid>
    <b:Author>
      <b:Author>
        <b:NameList>
          <b:Person>
            <b:Last>Kent</b:Last>
            <b:First>M.</b:First>
          </b:Person>
        </b:NameList>
      </b:Author>
    </b:Author>
    <b:Title>Oil and Empire: British Policy and Mesopotamian Oil 1900 - 1920 </b:Title>
    <b:City>London</b:City>
    <b:Publisher>MacMillan</b:Publisher>
    <b:Year>1976</b:Year>
    <b:RefOrder>6</b:RefOrder>
  </b:Source>
  <b:Source>
    <b:Tag>TJK92</b:Tag>
    <b:SourceType>Book</b:SourceType>
    <b:Guid>{B4D59FE7-D574-304E-87EB-1DE182118BD1}</b:Guid>
    <b:Author>
      <b:Author>
        <b:NameList>
          <b:Person>
            <b:Last>Knock</b:Last>
            <b:First>T.</b:First>
            <b:Middle>J.</b:Middle>
          </b:Person>
        </b:NameList>
      </b:Author>
    </b:Author>
    <b:Title>To End All Wars: Woodrow WIlson and the Quest for a New World Order</b:Title>
    <b:City>New York </b:City>
    <b:Publisher>Oxford University Press </b:Publisher>
    <b:Year>1992 </b:Year>
    <b:RefOrder>7</b:RefOrder>
  </b:Source>
  <b:Source>
    <b:Tag>Mar05</b:Tag>
    <b:SourceType>Book</b:SourceType>
    <b:Guid>{CD2D72DA-590A-AC44-8584-D1EBF7D9C77C}</b:Guid>
    <b:Author>
      <b:Author>
        <b:NameList>
          <b:Person>
            <b:Last>Macmillan</b:Last>
            <b:First>Margaret</b:First>
          </b:Person>
        </b:NameList>
      </b:Author>
    </b:Author>
    <b:Title>Peacemakers: The Paris Conference of 1919 and its Attempt to end War </b:Title>
    <b:City>London</b:City>
    <b:Publisher>John Murray </b:Publisher>
    <b:Year>2005</b:Year>
    <b:RefOrder>8</b:RefOrder>
  </b:Source>
  <b:Source>
    <b:Tag>Ezr07</b:Tag>
    <b:SourceType>Book</b:SourceType>
    <b:Guid>{50C4FBCC-CFA5-394C-94C3-9A8E01E9FCDE}</b:Guid>
    <b:Author>
      <b:Author>
        <b:NameList>
          <b:Person>
            <b:Last>Manela</b:Last>
            <b:First>Ezra</b:First>
          </b:Person>
        </b:NameList>
      </b:Author>
    </b:Author>
    <b:Title>The Wilsonian Moment: Self Determination and the International Origins of Anticolonial Nationalism</b:Title>
    <b:City>New York</b:City>
    <b:Publisher>Oxford University Press </b:Publisher>
    <b:Year>2007</b:Year>
    <b:RefOrder>9</b:RefOrder>
  </b:Source>
  <b:Source>
    <b:Tag>RMu15</b:Tag>
    <b:SourceType>Report</b:SourceType>
    <b:Guid>{E6D21427-48AF-BB4F-815C-EFB979460642}</b:Guid>
    <b:Author>
      <b:Author>
        <b:NameList>
          <b:Person>
            <b:Last>Murphy</b:Last>
            <b:First>R.</b:First>
          </b:Person>
        </b:NameList>
      </b:Author>
    </b:Author>
    <b:Title>The Roots of Realism and Idealism: U.S. Engagement with the Middle East, 1918 - 1939</b:Title>
    <b:JournalName>Arab Center for Middle East Policy Studies </b:JournalName>
    <b:Year>2015</b:Year>
    <b:Publisher>Arab Center for Middle East Policy Studies </b:Publisher>
    <b:RefOrder>10</b:RefOrder>
  </b:Source>
  <b:Source>
    <b:Tag>DMy21</b:Tag>
    <b:SourceType>JournalArticle</b:SourceType>
    <b:Guid>{03E89948-93E3-324C-A695-23117B8A8670}</b:Guid>
    <b:Title>The Mandate System of the League of Nations</b:Title>
    <b:Year>1921</b:Year>
    <b:Author>
      <b:Author>
        <b:NameList>
          <b:Person>
            <b:Last>Myers</b:Last>
            <b:First>D</b:First>
          </b:Person>
        </b:NameList>
      </b:Author>
    </b:Author>
    <b:JournalName>The Annals of the American Academy of Political and Social Science </b:JournalName>
    <b:Pages>74 - 77</b:Pages>
    <b:RefOrder>11</b:RefOrder>
  </b:Source>
  <b:Source>
    <b:Tag>Off20</b:Tag>
    <b:SourceType>InternetSite</b:SourceType>
    <b:Guid>{6C3DC1A0-6520-394C-AEEC-B86E5E6D9AA4}</b:Guid>
    <b:Title>Secretary of State John Hay and the Open Door in China 1899 - 1900</b:Title>
    <b:Author>
      <b:Author>
        <b:Corporate>Office of the Historian </b:Corporate>
      </b:Author>
    </b:Author>
    <b:URL>https://history.state.gov/milestones/1899-1913/hay-and-china</b:URL>
    <b:YearAccessed>2020 </b:YearAccessed>
    <b:RefOrder>12</b:RefOrder>
  </b:Source>
  <b:Source>
    <b:Tag>DPa12</b:Tag>
    <b:SourceType>JournalArticle</b:SourceType>
    <b:Guid>{3600EA09-FE58-C443-93F0-1795CE6CCA9C}</b:Guid>
    <b:Author>
      <b:Author>
        <b:NameList>
          <b:Person>
            <b:Last>Painter</b:Last>
            <b:First>D.</b:First>
          </b:Person>
        </b:NameList>
      </b:Author>
    </b:Author>
    <b:Title>Oil and the American Century </b:Title>
    <b:Year>2012</b:Year>
    <b:JournalName>Journal of American History </b:JournalName>
    <b:Pages>24 - 39 </b:Pages>
    <b:RefOrder>13</b:RefOrder>
  </b:Source>
  <b:Source>
    <b:Tag>And15</b:Tag>
    <b:SourceType>Book</b:SourceType>
    <b:Guid>{DA72E0E3-CB24-B94A-9FDC-AA10F4A54955}</b:Guid>
    <b:Author>
      <b:Author>
        <b:NameList>
          <b:Person>
            <b:Last>Patrick</b:Last>
            <b:First>Andrew</b:First>
          </b:Person>
        </b:NameList>
      </b:Author>
    </b:Author>
    <b:Title>America's forgotten Middle East Initiative: The King - Crane Commission of 1919 </b:Title>
    <b:Year>2015 </b:Year>
    <b:City>London </b:City>
    <b:Publisher>Tauris </b:Publisher>
    <b:RefOrder>14</b:RefOrder>
  </b:Source>
  <b:Source>
    <b:Tag>MRe06</b:Tag>
    <b:SourceType>JournalArticle</b:SourceType>
    <b:Guid>{917025C8-D0F2-CA45-9052-CB1EAE9DBA59}</b:Guid>
    <b:Title>The King Crane - Commission at the Juncture of Politics and Historiography </b:Title>
    <b:Year>2006 </b:Year>
    <b:Author>
      <b:Author>
        <b:NameList>
          <b:Person>
            <b:Last>Reiner</b:Last>
            <b:First>M</b:First>
          </b:Person>
        </b:NameList>
      </b:Author>
    </b:Author>
    <b:JournalName>Critical Middle Eastern Studies </b:JournalName>
    <b:RefOrder>15</b:RefOrder>
  </b:Source>
  <b:Source>
    <b:Tag>Nor13</b:Tag>
    <b:SourceType>Book</b:SourceType>
    <b:Guid>{28CB3F1F-1850-1242-BC63-1E55237F69D5}</b:Guid>
    <b:Author>
      <b:Author>
        <b:NameList>
          <b:Person>
            <b:Last>Saul</b:Last>
            <b:First>Norman</b:First>
            <b:Middle>E.</b:Middle>
          </b:Person>
        </b:NameList>
      </b:Author>
    </b:Author>
    <b:Title>The Life and Times of Charles R. Crane, 1858 - 1939: American businessman, philanthropist, and a founder of Russian studies in America. </b:Title>
    <b:City>Lanham</b:City>
    <b:Publisher>Lexington Books </b:Publisher>
    <b:Year>2013 </b:Year>
    <b:RefOrder>16</b:RefOrder>
  </b:Source>
  <b:Source>
    <b:Tag>PSl76</b:Tag>
    <b:SourceType>Book</b:SourceType>
    <b:Guid>{AFF8B420-22CF-7149-8D00-1A1814ABBCD7}</b:Guid>
    <b:Author>
      <b:Author>
        <b:NameList>
          <b:Person>
            <b:Last>Sluglett</b:Last>
            <b:First>P.</b:First>
          </b:Person>
        </b:NameList>
      </b:Author>
    </b:Author>
    <b:Title>Britain in Iraq: 1914 - 1934 </b:Title>
    <b:City>London</b:City>
    <b:Publisher>Ithaca Press </b:Publisher>
    <b:Year>1976</b:Year>
    <b:RefOrder>17</b:RefOrder>
  </b:Source>
  <b:Source>
    <b:Tag>Jan15</b:Tag>
    <b:SourceType>Book</b:SourceType>
    <b:Guid>{B00F0A47-14D9-5144-BE1B-8B3100F6B6F8}</b:Guid>
    <b:Author>
      <b:Author>
        <b:NameList>
          <b:Person>
            <b:Last>Terry</b:Last>
            <b:First>Janice</b:First>
          </b:Person>
        </b:NameList>
      </b:Author>
    </b:Author>
    <b:Title>William Yale: Witness to Partition in the Middle East, WWI - WWII</b:Title>
    <b:City>Cyprus </b:City>
    <b:Publisher>Rimal Publications</b:Publisher>
    <b:Year>2015</b:Year>
    <b:RefOrder>18</b:RefOrder>
  </b:Source>
  <b:Source>
    <b:Tag>GEW59</b:Tag>
    <b:SourceType>JournalArticle</b:SourceType>
    <b:Guid>{6B13B47C-EB5B-984C-BBF2-A0E38A687F63}</b:Guid>
    <b:Title>Russia and the Middle East </b:Title>
    <b:Year>1959 </b:Year>
    <b:Author>
      <b:Author>
        <b:NameList>
          <b:Person>
            <b:Last>Wheeler</b:Last>
            <b:First>G.</b:First>
            <b:Middle>E.</b:Middle>
          </b:Person>
        </b:NameList>
      </b:Author>
    </b:Author>
    <b:JournalName>International Affairs </b:JournalName>
    <b:Pages>295 - 304 </b:Pages>
    <b:RefOrder>19</b:RefOrder>
  </b:Source>
  <b:Source>
    <b:Tag>DeN56</b:Tag>
    <b:SourceType>JournalArticle</b:SourceType>
    <b:Guid>{71EFA7DD-F6A6-D74B-AB88-7EE293CB3A5D}</b:Guid>
    <b:Author>
      <b:Author>
        <b:NameList>
          <b:Person>
            <b:Last>DeNovo</b:Last>
            <b:First>John</b:First>
            <b:Middle>A</b:Middle>
          </b:Person>
        </b:NameList>
      </b:Author>
    </b:Author>
    <b:Title>The Movement for an Aggressive American Oil Policy Abroad, 1918-1920</b:Title>
    <b:Year>1956 </b:Year>
    <b:JournalName>The American Historical Review </b:JournalName>
    <b:Pages>854 - 876</b:Pages>
    <b:RefOrder>20</b:RefOrder>
  </b:Source>
  <b:Source>
    <b:Tag>The14</b:Tag>
    <b:SourceType>JournalArticle</b:SourceType>
    <b:Guid>{C4C3D9BD-4957-C74F-9C42-007038056A24}</b:Guid>
    <b:Author>
      <b:Author>
        <b:NameList>
          <b:Person>
            <b:Last>Samuel</b:Last>
            <b:First>Annie</b:First>
            <b:Middle>Tracey</b:Middle>
          </b:Person>
        </b:NameList>
      </b:Author>
    </b:Author>
    <b:Title>Wars, The Open Door and U.S. Policy in Iraq between the World</b:Title>
    <b:JournalName>Diplomatic History</b:JournalName>
    <b:Year>2014</b:Year>
    <b:Pages>926 - 952</b:Pages>
    <b:RefOrder>21</b:RefOrder>
  </b:Source>
  <b:Source>
    <b:Tag>Wil81</b:Tag>
    <b:SourceType>JournalArticle</b:SourceType>
    <b:Guid>{783E2DB4-C996-4B4E-AE4C-CCC2A170E2B8}</b:Guid>
    <b:Author>
      <b:Author>
        <b:NameList>
          <b:Person>
            <b:Last>Stivers</b:Last>
            <b:First>William</b:First>
          </b:Person>
        </b:NameList>
      </b:Author>
    </b:Author>
    <b:Title>International Politics and Iraqi Oil, 1918-1928: A Study in Anglo-American Diplomacy</b:Title>
    <b:JournalName>The Business History Review </b:JournalName>
    <b:Year>1981 </b:Year>
    <b:Pages>517 - 540 </b:Pages>
    <b:RefOrder>22</b:RefOrder>
  </b:Source>
  <b:Source>
    <b:Tag>Wil19</b:Tag>
    <b:SourceType>Misc</b:SourceType>
    <b:Guid>{6EFE93D8-EFE4-224B-B444-556A5F2EDA3F}</b:Guid>
    <b:Title>Typescript of Dr. Westermann's personal diary: April 20, 1919 - July 4, 1919</b:Title>
    <b:Year>1919</b:Year>
    <b:Medium>Diary</b:Medium>
    <b:Publisher>Rare Book and Manuscript Library, Columbia University, N.Y., New York</b:Publisher>
    <b:RefOrder>23</b:RefOrder>
  </b:Source>
  <b:Source>
    <b:Tag>Mem19</b:Tag>
    <b:SourceType>Misc</b:SourceType>
    <b:Guid>{F5BF2AFF-626B-3E4E-894C-9734A994F60B}</b:Guid>
    <b:Title>Memorandum by WIlliam Yale Concering OIl </b:Title>
    <b:Year>1919</b:Year>
    <b:Month>May </b:Month>
    <b:Day>1 </b:Day>
    <b:Publisher>King-Crane Commission Digital Collection, Oberlin College, Ohio </b:Publisher>
    <b:RefOrder>24</b:RefOrder>
  </b:Source>
  <b:Source>
    <b:Tag>Doc19</b:Tag>
    <b:SourceType>Misc</b:SourceType>
    <b:Guid>{6FE2A4A6-E7A4-2C4C-A02A-002C84A7FCA4}</b:Guid>
    <b:Title>Document by WIlliam Yale with questions and answers about oil</b:Title>
    <b:Year>1919</b:Year>
    <b:Month>May</b:Month>
    <b:Day>1</b:Day>
    <b:Publisher>King-Crane Commission Digital Archive, Oberlin College, Ohio</b:Publisher>
    <b:RefOrder>25</b:RefOrder>
  </b:Source>
  <b:Source>
    <b:Tag>Rep19</b:Tag>
    <b:SourceType>Misc</b:SourceType>
    <b:Guid>{AAB8095F-CB94-984C-9DE2-BCB1E0C607DC}</b:Guid>
    <b:Title>Report of the American Section of the International Commission on Mandates in Turkey </b:Title>
    <b:Year>1919</b:Year>
    <b:Month>August </b:Month>
    <b:Day>28 </b:Day>
    <b:City>Paris </b:City>
    <b:Publisher>Papers Relating to the Foreign Relations of the United States, The Paris Peace Conference, 1919, Volume XII, Field Missions of the American Commission to Negotiate Peace, Document 380, Paris Peace Conf. 181.9102/9</b:Publisher>
    <b:RefOrder>26</b:RefOrder>
  </b:Source>
  <b:Source>
    <b:Tag>Mem1</b:Tag>
    <b:SourceType>Misc</b:SourceType>
    <b:Guid>{C4AEE44F-145A-994D-BA17-043DBA0DD4C2}</b:Guid>
    <b:Title>Memorandum by William Yale entitled "Preserving the Open door to the oil fields of the world"</b:Title>
    <b:Publisher>Box 4, Folder 7, William Yale Papers, Yale University</b:Publisher>
    <b:Year>1919</b:Year>
    <b:RefOrder>27</b:RefOrder>
  </b:Source>
  <b:Source>
    <b:Tag>Tho74</b:Tag>
    <b:SourceType>JournalArticle</b:SourceType>
    <b:Guid>{CA20EA32-E154-FC40-8407-3E35A6060283}</b:Guid>
    <b:Title>Admiral Mark L. Bristol, an Open-Door Diplomat in Turkey </b:Title>
    <b:Year>1974 </b:Year>
    <b:Author>
      <b:Author>
        <b:NameList>
          <b:Person>
            <b:Last>Bryson</b:Last>
            <b:First>Thomas</b:First>
          </b:Person>
        </b:NameList>
      </b:Author>
    </b:Author>
    <b:JournalName>International Journal of Middle East Studies </b:JournalName>
    <b:Pages>450 - 467</b:Pages>
    <b:RefOrder>28</b:RefOrder>
  </b:Source>
  <b:Source>
    <b:Tag>Wil71</b:Tag>
    <b:SourceType>Book</b:SourceType>
    <b:Guid>{982CCBA2-BED8-BE42-BC8E-269596D479C1}</b:Guid>
    <b:Author>
      <b:Author>
        <b:NameList>
          <b:Person>
            <b:Last>Wilson</b:Last>
            <b:First>Joan</b:First>
            <b:Middle>H.</b:Middle>
          </b:Person>
        </b:NameList>
      </b:Author>
    </b:Author>
    <b:Title>American Business and Foreign Policy 1920 - 1933</b:Title>
    <b:Year>1971</b:Year>
    <b:City>New York</b:City>
    <b:Publisher>Beacon</b:Publisher>
    <b:RefOrder>29</b:RefOrder>
  </b:Source>
  <b:Source>
    <b:Tag>Mem</b:Tag>
    <b:SourceType>Misc</b:SourceType>
    <b:Guid>{9BD2CB99-1836-8043-AE73-E81B4116C4F1}</b:Guid>
    <b:Title>Memorandum by W. H. Buckler, entitled “Memorandum on the Policy of the U.S. Relative to the Treaty with Turkey” (October 1919)</b:Title>
    <b:Publisher>Box 3, Folder 7, William Yale Papers, University of New Hampshire</b:Publisher>
    <b:Year>1919</b:Year>
    <b:RefOrder>30</b:RefOrder>
  </b:Source>
  <b:Source>
    <b:Tag>Tra</b:Tag>
    <b:SourceType>Misc</b:SourceType>
    <b:Guid>{0901E393-533F-EA48-812C-DEF723A6AD8A}</b:Guid>
    <b:Title>Transcript of Albert Lybyer's Diary, March to September 1919</b:Title>
    <b:Publisher>King - Crane Commission Digital Collection, Oberlin College, Ohio</b:Publisher>
    <b:Year>1919</b:Year>
    <b:RefOrder>31</b:RefOrder>
  </b:Source>
  <b:Source>
    <b:Tag>Rep3</b:Tag>
    <b:SourceType>Misc</b:SourceType>
    <b:Guid>{5921D7E8-61C5-4C4E-986F-C955D2F7EFB1}</b:Guid>
    <b:Title>Report by William Yale entitled "British Policy in the Near East" (1917)</b:Title>
    <b:Publisher>Box 2, Folder 6, William Yale Papers, Yale University</b:Publisher>
    <b:Year>1919</b:Year>
    <b:RefOrder>32</b:RefOrder>
  </b:Source>
  <b:Source>
    <b:Tag>3Re</b:Tag>
    <b:SourceType>Misc</b:SourceType>
    <b:Guid>{2443DF2B-17FA-A547-8758-96B76F552658}</b:Guid>
    <b:Title>Report by Yale to American Peace Commission entitled “Position of the Syrian Question Today,” October 21, 1919</b:Title>
    <b:Publisher>Box 3, Folder 7, William Yale Papers, University of New Hampshire</b:Publisher>
    <b:Year>1919</b:Year>
    <b:RefOrder>33</b:RefOrder>
  </b:Source>
  <b:Source>
    <b:Tag>Rep</b:Tag>
    <b:SourceType>Misc</b:SourceType>
    <b:Guid>{56B2FE19-AA86-1F4E-B750-97FE16504C6C}</b:Guid>
    <b:Title>Report by Albert H. Lybyer, 1 July 1919</b:Title>
    <b:Publisher>King - Crane Commission Digital Collection, Oberlin College, Ohio</b:Publisher>
    <b:Year>1919</b:Year>
    <b:RefOrder>34</b:RefOrder>
  </b:Source>
  <b:Source>
    <b:Tag>Mem2</b:Tag>
    <b:SourceType>Misc</b:SourceType>
    <b:Guid>{951E31D9-18D8-3B4B-BAF7-B5B484EEF8B8}</b:Guid>
    <b:Title>Memorandum by Henry Churchill King and Charles Richard Crane May 1919 </b:Title>
    <b:Publisher>Woodrow Wilson Archives, University of Virginia</b:Publisher>
    <b:RefOrder>35</b:RefOrder>
  </b:Source>
  <b:Source>
    <b:Tag>Rep2</b:Tag>
    <b:SourceType>Misc</b:SourceType>
    <b:Guid>{5CDBFFDE-ADF2-B544-8093-8D168F21CAD3}</b:Guid>
    <b:Title>Report by William Yale entitled "Arab Empire Proapganda" (July 1918)</b:Title>
    <b:Publisher>Box 2, Folder 36, William Yale Papers, Yale University</b:Publisher>
    <b:Year>1919</b:Year>
    <b:RefOrder>36</b:RefOrder>
  </b:Source>
  <b:Source>
    <b:Tag>Doc191</b:Tag>
    <b:SourceType>Misc</b:SourceType>
    <b:Guid>{6C68B5D6-3DB1-6E4B-AB22-EF24C562A2B7}</b:Guid>
    <b:Title>Document from Mary Mills Patrick arguing for an American mandate over Turkey  </b:Title>
    <b:Year>1919</b:Year>
    <b:Publisher>King - Crane Commission Digital Archive, Oberlin College</b:Publisher>
    <b:RefOrder>37</b:RefOrder>
  </b:Source>
  <b:Source>
    <b:Tag>Cha</b:Tag>
    <b:SourceType>Misc</b:SourceType>
    <b:Guid>{BEA54D86-761F-EF47-A73C-378E69F9AFA5}</b:Guid>
    <b:Author>
      <b:Author>
        <b:NameList>
          <b:Person>
            <b:Last>Crane</b:Last>
            <b:First>Charles</b:First>
          </b:Person>
        </b:NameList>
      </b:Author>
    </b:Author>
    <b:Title>Memoirs </b:Title>
    <b:Publisher>Unpublished, NEED archive </b:Publisher>
    <b:RefOrder>38</b:RefOrder>
  </b:Source>
  <b:Source>
    <b:Tag>The</b:Tag>
    <b:SourceType>Misc</b:SourceType>
    <b:Guid>{F32CB21F-F20E-ED43-ABB3-CFEA7F7B0993}</b:Guid>
    <b:Title>The Acting Secretary of State to the Ambassador in Great Britain (Davis)</b:Title>
    <b:Publisher>199, Oil concession in Palestine and Mesopotamia, Volume II, Papers Relating to Foreign Relations of the United States, Washington: Government Printing Office, https://history.state.gov/historicaldocuments/frus1919v02/d199</b:Publisher>
    <b:Year>1919</b:Year>
    <b:RefOrder>39</b:RefOrder>
  </b:Source>
  <b:Source>
    <b:Tag>The191</b:Tag>
    <b:SourceType>Misc</b:SourceType>
    <b:Guid>{7FFC1748-466A-484E-BED8-47A034D9F5D2}</b:Guid>
    <b:Title>The Acting Secretary of State to the Commission to Negotiate Peace</b:Title>
    <b:Year>1919</b:Year>
    <b:Publisher>200, Oil concessions in Palestine and Mesopotamia, Volume II, Papers Relating to Foreig Relations of the United States, Washington: Government Printing Office, https://history.state.gov/historicaldocuments/frus1919v02/pg_252</b:Publisher>
    <b:RefOrder>40</b:RefOrder>
  </b:Source>
  <b:Source>
    <b:Tag>The1</b:Tag>
    <b:SourceType>Misc</b:SourceType>
    <b:Guid>{B850C630-D429-4943-839B-E15CE6EE8F0C}</b:Guid>
    <b:Title>The Commission to Negotiate Peace to the Acting Secretary of State</b:Title>
    <b:Publisher>201, Oil concessions in Palestine and Mesopotamia, Volume II, Papers Relating to Foreign Relations of the United Stats 1919, Washington: Government Printing Office, https://history.state.gov/historicaldocuments/frus1919v02/pg_253</b:Publisher>
    <b:Year>1919</b:Year>
    <b:RefOrder>41</b:RefOrder>
  </b:Source>
  <b:Source>
    <b:Tag>htt55</b:Tag>
    <b:SourceType>Misc</b:SourceType>
    <b:Guid>{B843B980-E407-F443-9192-E216EE05B908}</b:Guid>
    <b:City>https://history.state.gov/historicaldocuments/frus1918Supp01v01/d538</b:City>
    <b:Publisher>550, Cooperation of the United States with the Allied Powers in the Distribution of Oil and Oil-Well Equipment, Supplement 1, The World War, Volume I, Papers Relating to the Foreign Relations of the United States, 1918, Washington Government Printing</b:Publisher>
    <b:Title>The British Ambassador on Special Mission ( Reading) to the Assistant Secretary of State ( Phillips)</b:Title>
    <b:Year>1918</b:Year>
    <b:RefOrder>42</b:RefOrder>
  </b:Source>
  <b:Source>
    <b:Tag>The2</b:Tag>
    <b:SourceType>Misc</b:SourceType>
    <b:Guid>{2B40ACFC-957B-5C4F-81D6-5B9DC55DC6FF}</b:Guid>
    <b:Title>The Ambassador in Great Britain ( Page) to the Secretary of State</b:Title>
    <b:City>https://history.state.gov/historicaldocuments/frus1918Supp01v01/d543</b:City>
    <b:Publisher>543, Cooperation of the United States with the Allied Powers in the Distribution of Oil and Oil-Well Equipment, Supplement I, The World War, Volume I, Papers Relating to the Foreign Relations of the Unite States, Washington: Government Publishing Office,</b:Publisher>
    <b:Year>1918</b:Year>
    <b:RefOrder>43</b:RefOrder>
  </b:Source>
  <b:Source>
    <b:Tag>Rep4</b:Tag>
    <b:SourceType>Misc</b:SourceType>
    <b:Guid>{36F55B5E-AD43-F24C-8F57-38A66052501D}</b:Guid>
    <b:Title>Report by Yale to American Peace Commission (on interviews conducted in London, September 27, 1919 to October 14, 1919)</b:Title>
    <b:Publisher>Box 3, Folder 7, William Yale Papers, University of New Hampshire</b:Publisher>
    <b:RefOrder>44</b:RefOrder>
  </b:Source>
  <b:Source>
    <b:Tag>The4</b:Tag>
    <b:SourceType>Misc</b:SourceType>
    <b:Guid>{8181102B-8E34-2E41-9916-9E0E8A1E85FE}</b:Guid>
    <b:Title>The Commission to Negotiate Peace to the Secretary of State, September 29</b:Title>
    <b:Publisher>205, Oil concessions in Palestine and Mesopotamia, Volume II, Papers Relating to Foreign Relations of the United States, 1919, Washington; Government Publication Office, https://history.state.gov/historicaldocuments/frus1919v02/ch15subch1</b:Publisher>
    <b:RefOrder>45</b:RefOrder>
  </b:Source>
  <b:Source>
    <b:Tag>The19</b:Tag>
    <b:SourceType>Misc</b:SourceType>
    <b:Guid>{EDB1CED3-095B-1B4A-AD70-0F3D2CDD7CE6}</b:Guid>
    <b:Title>The Standard Oil Co. of New York to the Acting Secretary of State March 18</b:Title>
    <b:Year>1919</b:Year>
    <b:Publisher>198, Oil concessions in Palestine and Mesopotamia, Volume II, 1919, Papers Relating to Foreign Relations of the United States, Washginton: Government Printing Office, https://history.state.gov/historicaldocuments/frus1919v02/d198</b:Publisher>
    <b:RefOrder>46</b:RefOrder>
  </b:Source>
  <b:Source>
    <b:Tag>Rep191</b:Tag>
    <b:SourceType>Misc</b:SourceType>
    <b:Guid>{948EBB27-B425-B141-8C4D-4EED3D450438}</b:Guid>
    <b:Title>Report by William Yale entitled "The Position of the Syrian Question Today", October 21, 1919</b:Title>
    <b:Publisher>Box 3, Folder 7, William Yale Papers, University of New Hampshire </b:Publisher>
    <b:Year>1919</b:Year>
    <b:RefOrder>47</b:RefOrder>
  </b:Source>
  <b:Source>
    <b:Tag>Joh81</b:Tag>
    <b:SourceType>JournalArticle</b:SourceType>
    <b:Guid>{DEFCDEC6-12AA-2E4F-B4B7-CF308A90F3D2}</b:Guid>
    <b:Title>Fuel and the Battle Fleet: Coal, Oil and American Naval Strategy, 1898 - 1925</b:Title>
    <b:Year>1981</b:Year>
    <b:Author>
      <b:Author>
        <b:NameList>
          <b:Person>
            <b:Last>Maurer</b:Last>
            <b:First>John</b:First>
          </b:Person>
        </b:NameList>
      </b:Author>
    </b:Author>
    <b:JournalName>Naval War College Review</b:JournalName>
    <b:Pages>60 - 77</b:Pages>
    <b:RefOrder>48</b:RefOrder>
  </b:Source>
  <b:Source>
    <b:Tag>Ros99</b:Tag>
    <b:SourceType>Book</b:SourceType>
    <b:Guid>{BEDC51EB-F528-314C-894B-7EB7F19ECCF7}</b:Guid>
    <b:Author>
      <b:Author>
        <b:NameList>
          <b:Person>
            <b:Last>Rosenberg</b:Last>
            <b:First>Emily</b:First>
          </b:Person>
        </b:NameList>
      </b:Author>
    </b:Author>
    <b:Title>Spreading the American Dream: American Economic and Cultural Expansion, 1890 - 1945</b:Title>
    <b:Year>1999</b:Year>
    <b:City>New York</b:City>
    <b:Publisher>Hill and Wang</b:Publisher>
    <b:RefOrder>49</b:RefOrder>
  </b:Source>
  <b:Source>
    <b:Tag>Pap21</b:Tag>
    <b:SourceType>Misc</b:SourceType>
    <b:Guid>{CB68AC33-BDC3-FA4C-8B7F-5DFA20F0A2FF}</b:Guid>
    <b:Publisher>138, Greece, Volume II, Papers Relating to the Foreign Relations of the United States, Governmet: Washington Printing Office, https://history.state.gov/historicaldocuments/frus1921v02/d138</b:Publisher>
    <b:CountryRegion>https://history.state.gov/historicaldocuments/frus1921v02/d138</b:CountryRegion>
    <b:Title>The Vice President of the Standard Oil Company of New York (L. I. Thomas) to the Secretary of State, January 1921</b:Title>
    <b:RefOrder>50</b:RefOrder>
  </b:Source>
  <b:Source>
    <b:Tag>The3</b:Tag>
    <b:SourceType>Misc</b:SourceType>
    <b:Guid>{58E8FE20-9EC0-A64F-9A49-F80127267927}</b:Guid>
    <b:Title>The Acting Secretary of State to the Commission to Negotiate Peace September 18</b:Title>
    <b:Publisher>204, Oil Concessions in Palestine and Mesopotamia, Volume II, Papers Relating to Foreign Relations of the United States 1919, Washington: Government Publication Office, https://history.state.gov/historicaldocuments/frus1919v02/d204</b:Publisher>
    <b:Year>Phillips, William</b:Year>
    <b:RefOrder>51</b:RefOrder>
  </b:Source>
</b:Sources>
</file>

<file path=customXml/itemProps1.xml><?xml version="1.0" encoding="utf-8"?>
<ds:datastoreItem xmlns:ds="http://schemas.openxmlformats.org/officeDocument/2006/customXml" ds:itemID="{AD73976F-F060-8846-9B79-E82D749C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60</Pages>
  <Words>19008</Words>
  <Characters>102837</Characters>
  <Application>Microsoft Office Word</Application>
  <DocSecurity>0</DocSecurity>
  <Lines>1512</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Alex Yachyshen</dc:creator>
  <cp:keywords/>
  <dc:description/>
  <cp:lastModifiedBy>Dylan Alex Yachyshen</cp:lastModifiedBy>
  <cp:revision>6</cp:revision>
  <dcterms:created xsi:type="dcterms:W3CDTF">2021-03-24T05:23:00Z</dcterms:created>
  <dcterms:modified xsi:type="dcterms:W3CDTF">2021-04-06T00:15:00Z</dcterms:modified>
</cp:coreProperties>
</file>