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Stacey Bui</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CDP Artifact #2</w:t>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In the classroom, I appear visually as a young woman of color. This is how I show up in spaces with others. I am by nature, more casual, friendly, and outgoing. This is important to me. Throughout my life, I have become accustomed to my personality serving as a point of contention for the people around me. I grew up in Boulder County, Colorado, in predominately white spaces. Professionally, I have always been in outward-facing, service-based industries. The nature of my personality typically leads others to underestimate my intelligence and competence, perhaps as a result of the intersection of my identities, or because of how I present myself in my personality.</w:t>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When teaching, I am acutely aware of how I appear to my students. I know that I am visually young, which may lead them to believe that I am less educated, not as prepared, and not as intelligent as other instructors. Similarly, I know that even though I use she/they pronouns, I appear female-identifying to my students, and unequivocally nonwhite. This might cause some students to allow their gender and racial biases to cloud their judgement, leading them to further underestimate my authority in the classroom.</w:t>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However, I believe that the intersections of these identities I have laid out are not points of weakness in academia. The way that I show up as unapologetically myself does genuinely appeal to some students. I know that I am approachable, that I lead with kindness, that my humor resonates with students, that I allow them the opportunity and space to ask questions and learn freely, that I challenge them to form their own critical arguments based on their positionality in the classroom. I show up as myself in academia – full stop. This can be a source of comfort for many students. Academia can be elitist, classist, racist, and sexist, and taking up space as authentically me can make all the difference for a student like myself.</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