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E96A3E" w14:textId="1BBE685B" w:rsidR="008032EB" w:rsidRPr="00444E4E" w:rsidRDefault="00F156DE" w:rsidP="008032EB">
      <w:pPr>
        <w:jc w:val="center"/>
        <w:rPr>
          <w:b/>
          <w:bCs/>
          <w:sz w:val="36"/>
          <w:szCs w:val="36"/>
        </w:rPr>
      </w:pPr>
      <w:bookmarkStart w:id="0" w:name="OLE_LINK5"/>
      <w:bookmarkStart w:id="1" w:name="OLE_LINK6"/>
      <w:r>
        <w:rPr>
          <w:b/>
          <w:bCs/>
          <w:sz w:val="36"/>
          <w:szCs w:val="36"/>
        </w:rPr>
        <w:t>Potential of Combining Emerging Therapies</w:t>
      </w:r>
      <w:r w:rsidR="008032EB" w:rsidRPr="00444E4E">
        <w:rPr>
          <w:b/>
          <w:bCs/>
          <w:sz w:val="36"/>
          <w:szCs w:val="36"/>
        </w:rPr>
        <w:t xml:space="preserve"> for Post-Traumatic Stress Disorder</w:t>
      </w:r>
    </w:p>
    <w:bookmarkEnd w:id="0"/>
    <w:bookmarkEnd w:id="1"/>
    <w:p w14:paraId="2456A092" w14:textId="77777777" w:rsidR="007A1D40" w:rsidRDefault="007A1D40" w:rsidP="00444E4E">
      <w:pPr>
        <w:spacing w:line="276" w:lineRule="auto"/>
        <w:jc w:val="center"/>
        <w:rPr>
          <w:sz w:val="32"/>
          <w:szCs w:val="32"/>
        </w:rPr>
      </w:pPr>
    </w:p>
    <w:p w14:paraId="6ADEF589" w14:textId="77777777" w:rsidR="00444E4E" w:rsidRDefault="00444E4E" w:rsidP="009862D2">
      <w:pPr>
        <w:spacing w:line="276" w:lineRule="auto"/>
        <w:rPr>
          <w:sz w:val="32"/>
          <w:szCs w:val="32"/>
        </w:rPr>
      </w:pPr>
    </w:p>
    <w:p w14:paraId="3EB2D1B5" w14:textId="77777777" w:rsidR="00444E4E" w:rsidRDefault="00444E4E" w:rsidP="00444E4E">
      <w:pPr>
        <w:spacing w:line="276" w:lineRule="auto"/>
        <w:jc w:val="center"/>
        <w:rPr>
          <w:sz w:val="32"/>
          <w:szCs w:val="32"/>
        </w:rPr>
      </w:pPr>
    </w:p>
    <w:p w14:paraId="161A68CA" w14:textId="77777777" w:rsidR="00D41915" w:rsidRDefault="00D41915" w:rsidP="007A1D40">
      <w:pPr>
        <w:spacing w:line="480" w:lineRule="auto"/>
        <w:jc w:val="center"/>
        <w:rPr>
          <w:sz w:val="28"/>
          <w:szCs w:val="28"/>
        </w:rPr>
      </w:pPr>
    </w:p>
    <w:p w14:paraId="69A13DBD" w14:textId="7A908A66" w:rsidR="00444E4E" w:rsidRPr="00444E4E" w:rsidRDefault="00444E4E" w:rsidP="007A1D40">
      <w:pPr>
        <w:spacing w:line="480" w:lineRule="auto"/>
        <w:jc w:val="center"/>
        <w:rPr>
          <w:sz w:val="28"/>
          <w:szCs w:val="28"/>
        </w:rPr>
      </w:pPr>
      <w:r w:rsidRPr="00444E4E">
        <w:rPr>
          <w:sz w:val="28"/>
          <w:szCs w:val="28"/>
        </w:rPr>
        <w:t>Richard Park</w:t>
      </w:r>
    </w:p>
    <w:p w14:paraId="5FD4E6FD" w14:textId="057160F5" w:rsidR="00444E4E" w:rsidRPr="00444E4E" w:rsidRDefault="00444E4E" w:rsidP="007A1D40">
      <w:pPr>
        <w:spacing w:line="480" w:lineRule="auto"/>
        <w:jc w:val="center"/>
        <w:rPr>
          <w:sz w:val="28"/>
          <w:szCs w:val="28"/>
        </w:rPr>
      </w:pPr>
      <w:r w:rsidRPr="00444E4E">
        <w:rPr>
          <w:rFonts w:ascii="Calibri" w:hAnsi="Calibri" w:cs="Calibri"/>
          <w:color w:val="000000"/>
          <w:sz w:val="28"/>
          <w:szCs w:val="28"/>
        </w:rPr>
        <w:t>Department of Ecology and Evolutionary Biology, The University of Colorado at Boulder</w:t>
      </w:r>
    </w:p>
    <w:p w14:paraId="05414253" w14:textId="339A0B59" w:rsidR="00444E4E" w:rsidRDefault="00444E4E" w:rsidP="007A1D40">
      <w:pPr>
        <w:spacing w:line="480" w:lineRule="auto"/>
        <w:rPr>
          <w:b/>
          <w:bCs/>
          <w:sz w:val="36"/>
          <w:szCs w:val="36"/>
        </w:rPr>
      </w:pPr>
    </w:p>
    <w:p w14:paraId="37B21AB7" w14:textId="6AB94C1E" w:rsidR="00444E4E" w:rsidRPr="00444E4E" w:rsidRDefault="00444E4E" w:rsidP="007A1D40">
      <w:pPr>
        <w:spacing w:line="480" w:lineRule="auto"/>
        <w:jc w:val="center"/>
        <w:rPr>
          <w:sz w:val="28"/>
          <w:szCs w:val="28"/>
        </w:rPr>
      </w:pPr>
      <w:r>
        <w:rPr>
          <w:sz w:val="28"/>
          <w:szCs w:val="28"/>
        </w:rPr>
        <w:t xml:space="preserve">Thesis Defense Date: </w:t>
      </w:r>
    </w:p>
    <w:p w14:paraId="397FC87B" w14:textId="0ED7C89F" w:rsidR="00444E4E" w:rsidRPr="008433C9" w:rsidRDefault="00186249" w:rsidP="007A1D40">
      <w:pPr>
        <w:spacing w:line="480" w:lineRule="auto"/>
        <w:jc w:val="center"/>
        <w:rPr>
          <w:sz w:val="28"/>
          <w:szCs w:val="28"/>
        </w:rPr>
      </w:pPr>
      <w:r>
        <w:rPr>
          <w:sz w:val="28"/>
          <w:szCs w:val="28"/>
        </w:rPr>
        <w:t>March 3</w:t>
      </w:r>
      <w:r w:rsidR="00E32F2F">
        <w:rPr>
          <w:sz w:val="28"/>
          <w:szCs w:val="28"/>
        </w:rPr>
        <w:t xml:space="preserve">1, </w:t>
      </w:r>
      <w:r w:rsidR="008433C9">
        <w:rPr>
          <w:sz w:val="28"/>
          <w:szCs w:val="28"/>
        </w:rPr>
        <w:t>2021</w:t>
      </w:r>
    </w:p>
    <w:p w14:paraId="53C1D9E2" w14:textId="4ED09748" w:rsidR="00444E4E" w:rsidRDefault="00444E4E" w:rsidP="008032EB">
      <w:pPr>
        <w:jc w:val="center"/>
        <w:rPr>
          <w:b/>
          <w:bCs/>
          <w:sz w:val="36"/>
          <w:szCs w:val="36"/>
        </w:rPr>
      </w:pPr>
    </w:p>
    <w:p w14:paraId="7C44CA54" w14:textId="77777777" w:rsidR="009862D2" w:rsidRPr="009862D2" w:rsidRDefault="009862D2" w:rsidP="009862D2">
      <w:pPr>
        <w:autoSpaceDE w:val="0"/>
        <w:autoSpaceDN w:val="0"/>
        <w:adjustRightInd w:val="0"/>
        <w:rPr>
          <w:rFonts w:ascii="Calibri" w:hAnsi="Calibri" w:cs="Calibri"/>
          <w:color w:val="000000"/>
        </w:rPr>
      </w:pPr>
    </w:p>
    <w:p w14:paraId="33487960" w14:textId="767E0A18" w:rsidR="00444E4E" w:rsidRDefault="009862D2" w:rsidP="007A1D40">
      <w:pPr>
        <w:jc w:val="center"/>
        <w:rPr>
          <w:b/>
          <w:bCs/>
          <w:sz w:val="36"/>
          <w:szCs w:val="36"/>
        </w:rPr>
      </w:pPr>
      <w:r w:rsidRPr="009862D2">
        <w:rPr>
          <w:rFonts w:ascii="Calibri" w:hAnsi="Calibri" w:cs="Calibri"/>
          <w:color w:val="000000"/>
          <w:sz w:val="26"/>
          <w:szCs w:val="26"/>
        </w:rPr>
        <w:t xml:space="preserve">Thesis Advisor and Department: Barbara </w:t>
      </w:r>
      <w:proofErr w:type="spellStart"/>
      <w:r w:rsidRPr="009862D2">
        <w:rPr>
          <w:rFonts w:ascii="Calibri" w:hAnsi="Calibri" w:cs="Calibri"/>
          <w:color w:val="000000"/>
          <w:sz w:val="26"/>
          <w:szCs w:val="26"/>
        </w:rPr>
        <w:t>Demmig</w:t>
      </w:r>
      <w:proofErr w:type="spellEnd"/>
      <w:r w:rsidRPr="009862D2">
        <w:rPr>
          <w:rFonts w:ascii="Calibri" w:hAnsi="Calibri" w:cs="Calibri"/>
          <w:color w:val="000000"/>
          <w:sz w:val="26"/>
          <w:szCs w:val="26"/>
        </w:rPr>
        <w:t>-Adams, Ecology and Evolutionary Biology</w:t>
      </w:r>
    </w:p>
    <w:p w14:paraId="0C22804B" w14:textId="22A06F86" w:rsidR="00444E4E" w:rsidRDefault="00444E4E" w:rsidP="008032EB">
      <w:pPr>
        <w:jc w:val="center"/>
        <w:rPr>
          <w:b/>
          <w:bCs/>
          <w:sz w:val="36"/>
          <w:szCs w:val="36"/>
        </w:rPr>
      </w:pPr>
    </w:p>
    <w:p w14:paraId="456112EB" w14:textId="77777777" w:rsidR="009862D2" w:rsidRPr="009862D2" w:rsidRDefault="009862D2" w:rsidP="007A1D40">
      <w:pPr>
        <w:autoSpaceDE w:val="0"/>
        <w:autoSpaceDN w:val="0"/>
        <w:adjustRightInd w:val="0"/>
        <w:spacing w:line="480" w:lineRule="auto"/>
        <w:rPr>
          <w:rFonts w:ascii="Calibri" w:hAnsi="Calibri" w:cs="Calibri"/>
          <w:color w:val="000000"/>
        </w:rPr>
      </w:pPr>
    </w:p>
    <w:p w14:paraId="381FA1F4" w14:textId="3141D394" w:rsidR="009862D2" w:rsidRPr="009862D2" w:rsidRDefault="009862D2" w:rsidP="00E62F9B">
      <w:pPr>
        <w:autoSpaceDE w:val="0"/>
        <w:autoSpaceDN w:val="0"/>
        <w:adjustRightInd w:val="0"/>
        <w:spacing w:line="480" w:lineRule="auto"/>
        <w:jc w:val="center"/>
        <w:rPr>
          <w:color w:val="000000"/>
          <w:sz w:val="28"/>
          <w:szCs w:val="28"/>
        </w:rPr>
      </w:pPr>
      <w:r w:rsidRPr="009862D2">
        <w:rPr>
          <w:color w:val="000000"/>
          <w:sz w:val="28"/>
          <w:szCs w:val="28"/>
        </w:rPr>
        <w:t>Defense Committee Members and Departments:</w:t>
      </w:r>
    </w:p>
    <w:p w14:paraId="3B15F40B" w14:textId="3094ECA7" w:rsidR="00444E4E" w:rsidRPr="00A878B3" w:rsidRDefault="009862D2" w:rsidP="00E62F9B">
      <w:pPr>
        <w:spacing w:line="480" w:lineRule="auto"/>
        <w:jc w:val="center"/>
        <w:rPr>
          <w:sz w:val="28"/>
          <w:szCs w:val="28"/>
        </w:rPr>
      </w:pPr>
      <w:r w:rsidRPr="00A878B3">
        <w:rPr>
          <w:color w:val="000000"/>
          <w:sz w:val="28"/>
          <w:szCs w:val="28"/>
        </w:rPr>
        <w:t xml:space="preserve">Dr. Barbara </w:t>
      </w:r>
      <w:proofErr w:type="spellStart"/>
      <w:r w:rsidRPr="00A878B3">
        <w:rPr>
          <w:color w:val="000000"/>
          <w:sz w:val="28"/>
          <w:szCs w:val="28"/>
        </w:rPr>
        <w:t>Demmig</w:t>
      </w:r>
      <w:proofErr w:type="spellEnd"/>
      <w:r w:rsidRPr="00A878B3">
        <w:rPr>
          <w:color w:val="000000"/>
          <w:sz w:val="28"/>
          <w:szCs w:val="28"/>
        </w:rPr>
        <w:t>-Adams, Ecology and Evolutionary Biology</w:t>
      </w:r>
    </w:p>
    <w:p w14:paraId="3D4C67AA" w14:textId="121E1C8D" w:rsidR="00444E4E" w:rsidRPr="009862D2" w:rsidRDefault="009862D2" w:rsidP="00E62F9B">
      <w:pPr>
        <w:spacing w:line="480" w:lineRule="auto"/>
        <w:jc w:val="center"/>
        <w:rPr>
          <w:sz w:val="28"/>
          <w:szCs w:val="28"/>
        </w:rPr>
      </w:pPr>
      <w:r>
        <w:rPr>
          <w:sz w:val="28"/>
          <w:szCs w:val="28"/>
        </w:rPr>
        <w:t xml:space="preserve">Dr. </w:t>
      </w:r>
      <w:r w:rsidR="00A878B3">
        <w:rPr>
          <w:sz w:val="28"/>
          <w:szCs w:val="28"/>
        </w:rPr>
        <w:t>Pieter Johnson, Ecology and Evolutionary Biology</w:t>
      </w:r>
    </w:p>
    <w:p w14:paraId="777FABCA" w14:textId="283A07D2" w:rsidR="009862D2" w:rsidRDefault="00A878B3" w:rsidP="00E62F9B">
      <w:pPr>
        <w:spacing w:line="480" w:lineRule="auto"/>
        <w:jc w:val="center"/>
        <w:rPr>
          <w:sz w:val="28"/>
          <w:szCs w:val="28"/>
        </w:rPr>
      </w:pPr>
      <w:r>
        <w:rPr>
          <w:sz w:val="28"/>
          <w:szCs w:val="28"/>
        </w:rPr>
        <w:t>Dr. Christopher Lowry, Integrative Physiology</w:t>
      </w:r>
    </w:p>
    <w:p w14:paraId="12033246" w14:textId="1FAC6360" w:rsidR="009849FE" w:rsidRDefault="009849FE" w:rsidP="007A1D40">
      <w:pPr>
        <w:spacing w:line="480" w:lineRule="auto"/>
        <w:rPr>
          <w:sz w:val="28"/>
          <w:szCs w:val="28"/>
        </w:rPr>
      </w:pPr>
    </w:p>
    <w:p w14:paraId="336D1957" w14:textId="7B71F2AC" w:rsidR="009849FE" w:rsidRDefault="009849FE" w:rsidP="007A1D40">
      <w:pPr>
        <w:spacing w:line="480" w:lineRule="auto"/>
        <w:rPr>
          <w:sz w:val="28"/>
          <w:szCs w:val="28"/>
        </w:rPr>
      </w:pPr>
    </w:p>
    <w:p w14:paraId="5D77A90B" w14:textId="1AE95465" w:rsidR="009849FE" w:rsidRDefault="009849FE" w:rsidP="009849FE">
      <w:pPr>
        <w:spacing w:line="480" w:lineRule="auto"/>
        <w:jc w:val="center"/>
        <w:rPr>
          <w:sz w:val="28"/>
          <w:szCs w:val="28"/>
        </w:rPr>
      </w:pPr>
      <w:r>
        <w:rPr>
          <w:sz w:val="28"/>
          <w:szCs w:val="28"/>
        </w:rPr>
        <w:lastRenderedPageBreak/>
        <w:t>Table of Contents</w:t>
      </w:r>
    </w:p>
    <w:p w14:paraId="04576AF4" w14:textId="68C031A2" w:rsidR="009849FE" w:rsidRPr="00E62F9B" w:rsidRDefault="007B3D60" w:rsidP="00E62F9B">
      <w:pPr>
        <w:spacing w:line="480" w:lineRule="auto"/>
        <w:rPr>
          <w:b/>
          <w:bCs/>
          <w:sz w:val="28"/>
          <w:szCs w:val="28"/>
        </w:rPr>
      </w:pPr>
      <w:r>
        <w:rPr>
          <w:b/>
          <w:bCs/>
          <w:sz w:val="28"/>
          <w:szCs w:val="28"/>
        </w:rPr>
        <w:t>Abstract ………………………………………………………………………</w:t>
      </w:r>
      <w:r w:rsidR="00E13C4F">
        <w:rPr>
          <w:b/>
          <w:bCs/>
          <w:sz w:val="28"/>
          <w:szCs w:val="28"/>
        </w:rPr>
        <w:t>.</w:t>
      </w:r>
      <w:r>
        <w:rPr>
          <w:b/>
          <w:bCs/>
          <w:sz w:val="28"/>
          <w:szCs w:val="28"/>
        </w:rPr>
        <w:t>…2</w:t>
      </w:r>
    </w:p>
    <w:p w14:paraId="6984E615" w14:textId="03B242FA" w:rsidR="009849FE" w:rsidRPr="008603E4" w:rsidRDefault="008603E4" w:rsidP="007A1D40">
      <w:pPr>
        <w:spacing w:line="480" w:lineRule="auto"/>
        <w:rPr>
          <w:b/>
          <w:bCs/>
          <w:sz w:val="28"/>
          <w:szCs w:val="28"/>
        </w:rPr>
      </w:pPr>
      <w:r>
        <w:rPr>
          <w:b/>
          <w:bCs/>
          <w:sz w:val="28"/>
          <w:szCs w:val="28"/>
        </w:rPr>
        <w:t>Introduction……………………………………………………………………</w:t>
      </w:r>
      <w:r w:rsidR="00E13C4F">
        <w:rPr>
          <w:b/>
          <w:bCs/>
          <w:sz w:val="28"/>
          <w:szCs w:val="28"/>
        </w:rPr>
        <w:t>.</w:t>
      </w:r>
      <w:r w:rsidR="003B7C55">
        <w:rPr>
          <w:b/>
          <w:bCs/>
          <w:sz w:val="28"/>
          <w:szCs w:val="28"/>
        </w:rPr>
        <w:t>..3</w:t>
      </w:r>
    </w:p>
    <w:p w14:paraId="6458DEF3" w14:textId="3222B903" w:rsidR="009849FE" w:rsidRDefault="00B70A45" w:rsidP="007A1D40">
      <w:pPr>
        <w:spacing w:line="480" w:lineRule="auto"/>
        <w:rPr>
          <w:b/>
          <w:bCs/>
          <w:sz w:val="28"/>
          <w:szCs w:val="28"/>
        </w:rPr>
      </w:pPr>
      <w:r>
        <w:rPr>
          <w:b/>
          <w:bCs/>
          <w:sz w:val="28"/>
          <w:szCs w:val="28"/>
        </w:rPr>
        <w:t>Background………………………………………………………………………5</w:t>
      </w:r>
    </w:p>
    <w:p w14:paraId="792086B9" w14:textId="5B401690" w:rsidR="004251D2" w:rsidRPr="004251D2" w:rsidRDefault="004251D2" w:rsidP="007A1D40">
      <w:pPr>
        <w:spacing w:line="480" w:lineRule="auto"/>
        <w:rPr>
          <w:b/>
          <w:bCs/>
          <w:sz w:val="28"/>
          <w:szCs w:val="28"/>
        </w:rPr>
      </w:pPr>
      <w:r w:rsidRPr="004251D2">
        <w:rPr>
          <w:b/>
          <w:bCs/>
          <w:sz w:val="28"/>
          <w:szCs w:val="28"/>
        </w:rPr>
        <w:t>Current Pharmacological Approaches to PTSD Treatment</w:t>
      </w:r>
      <w:r>
        <w:rPr>
          <w:b/>
          <w:bCs/>
          <w:sz w:val="28"/>
          <w:szCs w:val="28"/>
        </w:rPr>
        <w:t>………………….</w:t>
      </w:r>
      <w:r w:rsidR="006036CC">
        <w:rPr>
          <w:b/>
          <w:bCs/>
          <w:sz w:val="28"/>
          <w:szCs w:val="28"/>
        </w:rPr>
        <w:t>8</w:t>
      </w:r>
    </w:p>
    <w:p w14:paraId="6BF278DE" w14:textId="4AF71375" w:rsidR="004251D2" w:rsidRDefault="007A5363" w:rsidP="007A1D40">
      <w:pPr>
        <w:spacing w:line="480" w:lineRule="auto"/>
        <w:rPr>
          <w:b/>
          <w:bCs/>
          <w:sz w:val="28"/>
          <w:szCs w:val="28"/>
        </w:rPr>
      </w:pPr>
      <w:r>
        <w:rPr>
          <w:b/>
          <w:bCs/>
          <w:sz w:val="28"/>
          <w:szCs w:val="28"/>
        </w:rPr>
        <w:t>Emerging</w:t>
      </w:r>
      <w:r w:rsidR="00F05F99">
        <w:rPr>
          <w:b/>
          <w:bCs/>
          <w:sz w:val="28"/>
          <w:szCs w:val="28"/>
        </w:rPr>
        <w:t xml:space="preserve"> Pharmacology for PTSD…………………………………………</w:t>
      </w:r>
      <w:r>
        <w:rPr>
          <w:b/>
          <w:bCs/>
          <w:sz w:val="28"/>
          <w:szCs w:val="28"/>
        </w:rPr>
        <w:t>.</w:t>
      </w:r>
      <w:r w:rsidR="00F05F99">
        <w:rPr>
          <w:b/>
          <w:bCs/>
          <w:sz w:val="28"/>
          <w:szCs w:val="28"/>
        </w:rPr>
        <w:t>…</w:t>
      </w:r>
      <w:r w:rsidR="00E13C4F">
        <w:rPr>
          <w:b/>
          <w:bCs/>
          <w:sz w:val="28"/>
          <w:szCs w:val="28"/>
        </w:rPr>
        <w:t>10</w:t>
      </w:r>
    </w:p>
    <w:p w14:paraId="39BA29D4" w14:textId="4C1253FA" w:rsidR="00F05F99" w:rsidRDefault="009A1581" w:rsidP="007A1D40">
      <w:pPr>
        <w:spacing w:line="480" w:lineRule="auto"/>
        <w:rPr>
          <w:b/>
          <w:bCs/>
          <w:sz w:val="28"/>
          <w:szCs w:val="28"/>
        </w:rPr>
      </w:pPr>
      <w:r>
        <w:rPr>
          <w:b/>
          <w:bCs/>
          <w:sz w:val="28"/>
          <w:szCs w:val="28"/>
        </w:rPr>
        <w:t>Lifestyle Factors………………………………………………………………</w:t>
      </w:r>
      <w:r w:rsidR="00C47289">
        <w:rPr>
          <w:b/>
          <w:bCs/>
          <w:sz w:val="28"/>
          <w:szCs w:val="28"/>
        </w:rPr>
        <w:t>…</w:t>
      </w:r>
      <w:r w:rsidR="003B56BF">
        <w:rPr>
          <w:b/>
          <w:bCs/>
          <w:sz w:val="28"/>
          <w:szCs w:val="28"/>
        </w:rPr>
        <w:t>.</w:t>
      </w:r>
      <w:r w:rsidR="007A5363">
        <w:rPr>
          <w:b/>
          <w:bCs/>
          <w:sz w:val="28"/>
          <w:szCs w:val="28"/>
        </w:rPr>
        <w:t>11</w:t>
      </w:r>
    </w:p>
    <w:p w14:paraId="62735A66" w14:textId="3F7EB7C3" w:rsidR="005D6886" w:rsidRPr="00F05F99" w:rsidRDefault="008433C9" w:rsidP="007A1D40">
      <w:pPr>
        <w:spacing w:line="480" w:lineRule="auto"/>
        <w:rPr>
          <w:b/>
          <w:bCs/>
          <w:sz w:val="28"/>
          <w:szCs w:val="28"/>
        </w:rPr>
      </w:pPr>
      <w:r>
        <w:rPr>
          <w:b/>
          <w:bCs/>
          <w:sz w:val="28"/>
          <w:szCs w:val="28"/>
        </w:rPr>
        <w:t>Literature Synthesis……………………………………………………………..1</w:t>
      </w:r>
      <w:r w:rsidR="0091414B">
        <w:rPr>
          <w:b/>
          <w:bCs/>
          <w:sz w:val="28"/>
          <w:szCs w:val="28"/>
        </w:rPr>
        <w:t>4</w:t>
      </w:r>
    </w:p>
    <w:p w14:paraId="5E45C3D0" w14:textId="204BA1D2" w:rsidR="008932F8" w:rsidRPr="00873159" w:rsidRDefault="008932F8" w:rsidP="007A1D40">
      <w:pPr>
        <w:spacing w:line="480" w:lineRule="auto"/>
        <w:rPr>
          <w:b/>
          <w:bCs/>
          <w:sz w:val="28"/>
          <w:szCs w:val="28"/>
        </w:rPr>
      </w:pPr>
      <w:r>
        <w:rPr>
          <w:b/>
          <w:bCs/>
          <w:sz w:val="28"/>
          <w:szCs w:val="28"/>
        </w:rPr>
        <w:t xml:space="preserve">Stress Hormones &amp; </w:t>
      </w:r>
      <w:r w:rsidR="002A16FB">
        <w:rPr>
          <w:b/>
          <w:bCs/>
          <w:sz w:val="28"/>
          <w:szCs w:val="28"/>
        </w:rPr>
        <w:t>C</w:t>
      </w:r>
      <w:r w:rsidR="00873159">
        <w:rPr>
          <w:b/>
          <w:bCs/>
          <w:sz w:val="28"/>
          <w:szCs w:val="28"/>
        </w:rPr>
        <w:t>hronic Inflammation…</w:t>
      </w:r>
      <w:r w:rsidR="004622DC">
        <w:rPr>
          <w:b/>
          <w:bCs/>
          <w:sz w:val="28"/>
          <w:szCs w:val="28"/>
        </w:rPr>
        <w:t>……</w:t>
      </w:r>
      <w:r w:rsidR="002A16FB">
        <w:rPr>
          <w:b/>
          <w:bCs/>
          <w:sz w:val="28"/>
          <w:szCs w:val="28"/>
        </w:rPr>
        <w:t>...</w:t>
      </w:r>
      <w:r w:rsidR="004622DC">
        <w:rPr>
          <w:b/>
          <w:bCs/>
          <w:sz w:val="28"/>
          <w:szCs w:val="28"/>
        </w:rPr>
        <w:t>……………</w:t>
      </w:r>
      <w:r>
        <w:rPr>
          <w:b/>
          <w:bCs/>
          <w:sz w:val="28"/>
          <w:szCs w:val="28"/>
        </w:rPr>
        <w:t>..</w:t>
      </w:r>
      <w:r w:rsidR="004622DC">
        <w:rPr>
          <w:b/>
          <w:bCs/>
          <w:sz w:val="28"/>
          <w:szCs w:val="28"/>
        </w:rPr>
        <w:t>…………...1</w:t>
      </w:r>
      <w:r w:rsidR="000B1D1E">
        <w:rPr>
          <w:b/>
          <w:bCs/>
          <w:sz w:val="28"/>
          <w:szCs w:val="28"/>
        </w:rPr>
        <w:t>4</w:t>
      </w:r>
    </w:p>
    <w:p w14:paraId="0D5828E0" w14:textId="47937D87" w:rsidR="009849FE" w:rsidRDefault="002A16FB" w:rsidP="007A1D40">
      <w:pPr>
        <w:spacing w:line="480" w:lineRule="auto"/>
        <w:rPr>
          <w:b/>
          <w:bCs/>
          <w:sz w:val="28"/>
          <w:szCs w:val="28"/>
        </w:rPr>
      </w:pPr>
      <w:r>
        <w:rPr>
          <w:b/>
          <w:bCs/>
          <w:sz w:val="28"/>
          <w:szCs w:val="28"/>
        </w:rPr>
        <w:t>Gut Microbiome &amp; Endocannabinoids………………………………………...1</w:t>
      </w:r>
      <w:r w:rsidR="00756180">
        <w:rPr>
          <w:b/>
          <w:bCs/>
          <w:sz w:val="28"/>
          <w:szCs w:val="28"/>
        </w:rPr>
        <w:t>8</w:t>
      </w:r>
    </w:p>
    <w:p w14:paraId="36405B77" w14:textId="191A4910" w:rsidR="003B56BF" w:rsidRDefault="003B56BF" w:rsidP="007A1D40">
      <w:pPr>
        <w:spacing w:line="480" w:lineRule="auto"/>
        <w:rPr>
          <w:b/>
          <w:bCs/>
          <w:sz w:val="28"/>
          <w:szCs w:val="28"/>
        </w:rPr>
      </w:pPr>
      <w:r>
        <w:rPr>
          <w:b/>
          <w:bCs/>
          <w:sz w:val="28"/>
          <w:szCs w:val="28"/>
        </w:rPr>
        <w:t>Cannabinoids……………………………………………………………………</w:t>
      </w:r>
      <w:r>
        <w:rPr>
          <w:b/>
          <w:bCs/>
          <w:sz w:val="28"/>
          <w:szCs w:val="28"/>
        </w:rPr>
        <w:t>.</w:t>
      </w:r>
      <w:r w:rsidR="00E42ED8">
        <w:rPr>
          <w:b/>
          <w:bCs/>
          <w:sz w:val="28"/>
          <w:szCs w:val="28"/>
        </w:rPr>
        <w:t>20</w:t>
      </w:r>
    </w:p>
    <w:p w14:paraId="0D4896D0" w14:textId="3815FAB7" w:rsidR="00F90B50" w:rsidRDefault="00F90B50" w:rsidP="007A1D40">
      <w:pPr>
        <w:spacing w:line="480" w:lineRule="auto"/>
        <w:rPr>
          <w:b/>
          <w:bCs/>
          <w:sz w:val="28"/>
          <w:szCs w:val="28"/>
        </w:rPr>
      </w:pPr>
      <w:r>
        <w:rPr>
          <w:b/>
          <w:bCs/>
          <w:sz w:val="28"/>
          <w:szCs w:val="28"/>
        </w:rPr>
        <w:t>Physical Activity…………………………………………………………………</w:t>
      </w:r>
      <w:r w:rsidR="004251D2">
        <w:rPr>
          <w:b/>
          <w:bCs/>
          <w:sz w:val="28"/>
          <w:szCs w:val="28"/>
        </w:rPr>
        <w:t>2</w:t>
      </w:r>
      <w:r w:rsidR="00756180">
        <w:rPr>
          <w:b/>
          <w:bCs/>
          <w:sz w:val="28"/>
          <w:szCs w:val="28"/>
        </w:rPr>
        <w:t>2</w:t>
      </w:r>
    </w:p>
    <w:p w14:paraId="29B57C3C" w14:textId="39A49C5C" w:rsidR="004C6AAD" w:rsidRPr="00F90B50" w:rsidRDefault="004C6AAD" w:rsidP="007A1D40">
      <w:pPr>
        <w:spacing w:line="480" w:lineRule="auto"/>
        <w:rPr>
          <w:b/>
          <w:bCs/>
          <w:sz w:val="28"/>
          <w:szCs w:val="28"/>
        </w:rPr>
      </w:pPr>
      <w:r>
        <w:rPr>
          <w:b/>
          <w:bCs/>
          <w:sz w:val="28"/>
          <w:szCs w:val="28"/>
        </w:rPr>
        <w:t>Electrotherapies……………………………………………</w:t>
      </w:r>
      <w:r w:rsidR="00AF550B">
        <w:rPr>
          <w:b/>
          <w:bCs/>
          <w:sz w:val="28"/>
          <w:szCs w:val="28"/>
        </w:rPr>
        <w:t>…………………….</w:t>
      </w:r>
      <w:r w:rsidR="004251D2">
        <w:rPr>
          <w:b/>
          <w:bCs/>
          <w:sz w:val="28"/>
          <w:szCs w:val="28"/>
        </w:rPr>
        <w:t>2</w:t>
      </w:r>
      <w:r w:rsidR="00756180">
        <w:rPr>
          <w:b/>
          <w:bCs/>
          <w:sz w:val="28"/>
          <w:szCs w:val="28"/>
        </w:rPr>
        <w:t>3</w:t>
      </w:r>
    </w:p>
    <w:p w14:paraId="0A8B3E26" w14:textId="07246323" w:rsidR="009849FE" w:rsidRPr="00AF550B" w:rsidRDefault="00AF550B" w:rsidP="007A1D40">
      <w:pPr>
        <w:spacing w:line="480" w:lineRule="auto"/>
        <w:rPr>
          <w:b/>
          <w:bCs/>
          <w:sz w:val="28"/>
          <w:szCs w:val="28"/>
        </w:rPr>
      </w:pPr>
      <w:r>
        <w:rPr>
          <w:b/>
          <w:bCs/>
          <w:sz w:val="28"/>
          <w:szCs w:val="28"/>
        </w:rPr>
        <w:t>Other Emerging Therapies……………………………………………………</w:t>
      </w:r>
      <w:r w:rsidR="00AB0B1F">
        <w:rPr>
          <w:b/>
          <w:bCs/>
          <w:sz w:val="28"/>
          <w:szCs w:val="28"/>
        </w:rPr>
        <w:t>..</w:t>
      </w:r>
      <w:r w:rsidR="00DC3110">
        <w:rPr>
          <w:b/>
          <w:bCs/>
          <w:sz w:val="28"/>
          <w:szCs w:val="28"/>
        </w:rPr>
        <w:t>.</w:t>
      </w:r>
      <w:r w:rsidR="009816C3">
        <w:rPr>
          <w:b/>
          <w:bCs/>
          <w:sz w:val="28"/>
          <w:szCs w:val="28"/>
        </w:rPr>
        <w:t>2</w:t>
      </w:r>
      <w:r w:rsidR="004251D2">
        <w:rPr>
          <w:b/>
          <w:bCs/>
          <w:sz w:val="28"/>
          <w:szCs w:val="28"/>
        </w:rPr>
        <w:t>4</w:t>
      </w:r>
    </w:p>
    <w:p w14:paraId="011A83A0" w14:textId="28F6765F" w:rsidR="009849FE" w:rsidRPr="00AB0B1F" w:rsidRDefault="00AB0B1F" w:rsidP="007A1D40">
      <w:pPr>
        <w:spacing w:line="480" w:lineRule="auto"/>
        <w:rPr>
          <w:b/>
          <w:bCs/>
          <w:sz w:val="28"/>
          <w:szCs w:val="28"/>
        </w:rPr>
      </w:pPr>
      <w:r>
        <w:rPr>
          <w:b/>
          <w:bCs/>
          <w:sz w:val="28"/>
          <w:szCs w:val="28"/>
        </w:rPr>
        <w:t>Conclusion &amp; Proposed Treatment Regime…………………………………</w:t>
      </w:r>
      <w:r w:rsidR="00DC3110">
        <w:rPr>
          <w:b/>
          <w:bCs/>
          <w:sz w:val="28"/>
          <w:szCs w:val="28"/>
        </w:rPr>
        <w:t>…2</w:t>
      </w:r>
      <w:r w:rsidR="00DA261E">
        <w:rPr>
          <w:b/>
          <w:bCs/>
          <w:sz w:val="28"/>
          <w:szCs w:val="28"/>
        </w:rPr>
        <w:t>6</w:t>
      </w:r>
    </w:p>
    <w:p w14:paraId="185BC639" w14:textId="4980EAAC" w:rsidR="009849FE" w:rsidRPr="009816C3" w:rsidRDefault="009816C3" w:rsidP="007A1D40">
      <w:pPr>
        <w:spacing w:line="480" w:lineRule="auto"/>
        <w:rPr>
          <w:b/>
          <w:bCs/>
          <w:sz w:val="28"/>
          <w:szCs w:val="28"/>
        </w:rPr>
      </w:pPr>
      <w:r w:rsidRPr="009816C3">
        <w:rPr>
          <w:b/>
          <w:bCs/>
          <w:sz w:val="28"/>
          <w:szCs w:val="28"/>
        </w:rPr>
        <w:t>Ack</w:t>
      </w:r>
      <w:r>
        <w:rPr>
          <w:b/>
          <w:bCs/>
          <w:sz w:val="28"/>
          <w:szCs w:val="28"/>
        </w:rPr>
        <w:t>nowledgments……………………………………………………………….</w:t>
      </w:r>
      <w:r w:rsidR="00835957">
        <w:rPr>
          <w:b/>
          <w:bCs/>
          <w:sz w:val="28"/>
          <w:szCs w:val="28"/>
        </w:rPr>
        <w:t>30</w:t>
      </w:r>
    </w:p>
    <w:p w14:paraId="353E8D1C" w14:textId="2AFDF14B" w:rsidR="009849FE" w:rsidRPr="00114F9F" w:rsidRDefault="00114F9F" w:rsidP="007A1D40">
      <w:pPr>
        <w:spacing w:line="480" w:lineRule="auto"/>
        <w:rPr>
          <w:b/>
          <w:bCs/>
          <w:sz w:val="28"/>
          <w:szCs w:val="28"/>
        </w:rPr>
      </w:pPr>
      <w:r>
        <w:rPr>
          <w:b/>
          <w:bCs/>
          <w:sz w:val="28"/>
          <w:szCs w:val="28"/>
        </w:rPr>
        <w:t>Bibliography……………………………………………………………………</w:t>
      </w:r>
      <w:r w:rsidR="004A7F78">
        <w:rPr>
          <w:b/>
          <w:bCs/>
          <w:sz w:val="28"/>
          <w:szCs w:val="28"/>
        </w:rPr>
        <w:t>..</w:t>
      </w:r>
      <w:r w:rsidR="00075974">
        <w:rPr>
          <w:b/>
          <w:bCs/>
          <w:sz w:val="28"/>
          <w:szCs w:val="28"/>
        </w:rPr>
        <w:t>3</w:t>
      </w:r>
      <w:r w:rsidR="00835957">
        <w:rPr>
          <w:b/>
          <w:bCs/>
          <w:sz w:val="28"/>
          <w:szCs w:val="28"/>
        </w:rPr>
        <w:t>1</w:t>
      </w:r>
    </w:p>
    <w:p w14:paraId="3B4A4E03" w14:textId="77777777" w:rsidR="00A33685" w:rsidRDefault="00A33685" w:rsidP="007A1D40">
      <w:pPr>
        <w:spacing w:line="480" w:lineRule="auto"/>
        <w:rPr>
          <w:sz w:val="28"/>
          <w:szCs w:val="28"/>
        </w:rPr>
      </w:pPr>
    </w:p>
    <w:p w14:paraId="235402C5" w14:textId="68FB0147" w:rsidR="009849FE" w:rsidRDefault="009849FE" w:rsidP="007A1D40">
      <w:pPr>
        <w:spacing w:line="480" w:lineRule="auto"/>
        <w:rPr>
          <w:sz w:val="28"/>
          <w:szCs w:val="28"/>
        </w:rPr>
      </w:pPr>
    </w:p>
    <w:p w14:paraId="641D4C01" w14:textId="77777777" w:rsidR="008433C9" w:rsidRDefault="008433C9" w:rsidP="007A1D40">
      <w:pPr>
        <w:spacing w:line="480" w:lineRule="auto"/>
        <w:rPr>
          <w:b/>
          <w:bCs/>
        </w:rPr>
      </w:pPr>
    </w:p>
    <w:p w14:paraId="72B114E7" w14:textId="21DADB57" w:rsidR="008032EB" w:rsidRDefault="008032EB" w:rsidP="007A1D40">
      <w:pPr>
        <w:spacing w:line="480" w:lineRule="auto"/>
        <w:rPr>
          <w:b/>
          <w:bCs/>
        </w:rPr>
      </w:pPr>
      <w:r>
        <w:rPr>
          <w:b/>
          <w:bCs/>
        </w:rPr>
        <w:lastRenderedPageBreak/>
        <w:t>Abstract</w:t>
      </w:r>
    </w:p>
    <w:p w14:paraId="0E7BE845" w14:textId="77777777" w:rsidR="008032EB" w:rsidRDefault="008032EB" w:rsidP="007A1D40">
      <w:pPr>
        <w:spacing w:line="480" w:lineRule="auto"/>
        <w:rPr>
          <w:b/>
          <w:bCs/>
        </w:rPr>
      </w:pPr>
    </w:p>
    <w:p w14:paraId="7EAE259A" w14:textId="6F342187" w:rsidR="00AA1CC6" w:rsidRPr="00B14A6E" w:rsidRDefault="00B53C69" w:rsidP="00271D41">
      <w:pPr>
        <w:autoSpaceDE w:val="0"/>
        <w:autoSpaceDN w:val="0"/>
        <w:adjustRightInd w:val="0"/>
        <w:spacing w:line="480" w:lineRule="auto"/>
      </w:pPr>
      <w:bookmarkStart w:id="2" w:name="OLE_LINK7"/>
      <w:bookmarkStart w:id="3" w:name="OLE_LINK8"/>
      <w:r>
        <w:t>Post-</w:t>
      </w:r>
      <w:r w:rsidR="003B0B0F">
        <w:t>t</w:t>
      </w:r>
      <w:r>
        <w:t xml:space="preserve">raumatic </w:t>
      </w:r>
      <w:r w:rsidR="003B0B0F">
        <w:t>s</w:t>
      </w:r>
      <w:r>
        <w:t xml:space="preserve">tress </w:t>
      </w:r>
      <w:r w:rsidR="003B0B0F">
        <w:t>d</w:t>
      </w:r>
      <w:r>
        <w:t>isorder (PTSD) is a complex, multi-faceted</w:t>
      </w:r>
      <w:r w:rsidR="00B17DE4">
        <w:t xml:space="preserve"> psychological</w:t>
      </w:r>
      <w:r>
        <w:t xml:space="preserve"> disorder involv</w:t>
      </w:r>
      <w:r w:rsidR="003B0B0F">
        <w:t>ing</w:t>
      </w:r>
      <w:r w:rsidR="00B14A6E">
        <w:t xml:space="preserve"> </w:t>
      </w:r>
      <w:r>
        <w:t>dysregulation of</w:t>
      </w:r>
      <w:r w:rsidR="00C3235D">
        <w:t xml:space="preserve"> systems that govern stress and immune </w:t>
      </w:r>
      <w:r w:rsidR="00861CAA">
        <w:t>response</w:t>
      </w:r>
      <w:r w:rsidR="00B17DE4">
        <w:t xml:space="preserve">, and </w:t>
      </w:r>
      <w:r>
        <w:t>affect</w:t>
      </w:r>
      <w:r w:rsidR="00B14A6E">
        <w:t>ing</w:t>
      </w:r>
      <w:r>
        <w:t xml:space="preserve"> civilians and military personnel alike. </w:t>
      </w:r>
      <w:r w:rsidR="00B17DE4">
        <w:t xml:space="preserve">An </w:t>
      </w:r>
      <w:r>
        <w:t xml:space="preserve">increased prevalence of </w:t>
      </w:r>
      <w:r w:rsidR="00B17DE4">
        <w:t>PTSD and</w:t>
      </w:r>
      <w:r w:rsidRPr="00970AEB">
        <w:t xml:space="preserve"> </w:t>
      </w:r>
      <w:r w:rsidR="00857CBE">
        <w:t xml:space="preserve">an incomplete </w:t>
      </w:r>
      <w:r w:rsidRPr="00970AEB">
        <w:t xml:space="preserve">understanding </w:t>
      </w:r>
      <w:r w:rsidR="00DE6D1E">
        <w:t xml:space="preserve">of </w:t>
      </w:r>
      <w:r w:rsidR="00B17DE4">
        <w:t>its underlying</w:t>
      </w:r>
      <w:r>
        <w:t xml:space="preserve"> </w:t>
      </w:r>
      <w:r w:rsidRPr="00970AEB">
        <w:t xml:space="preserve">mechanisms </w:t>
      </w:r>
      <w:r w:rsidR="00B17DE4">
        <w:t>makes</w:t>
      </w:r>
      <w:r>
        <w:t xml:space="preserve"> treating</w:t>
      </w:r>
      <w:r w:rsidR="00B17DE4">
        <w:t xml:space="preserve">, and even diagnosing </w:t>
      </w:r>
      <w:r>
        <w:t>PTSD</w:t>
      </w:r>
      <w:r w:rsidR="00B17DE4">
        <w:t xml:space="preserve"> challenging</w:t>
      </w:r>
      <w:r>
        <w:t xml:space="preserve">. </w:t>
      </w:r>
      <w:r w:rsidR="00EF1127">
        <w:rPr>
          <w:color w:val="221E1F"/>
        </w:rPr>
        <w:t>D</w:t>
      </w:r>
      <w:r w:rsidR="00E26E78" w:rsidRPr="00E26E78">
        <w:rPr>
          <w:color w:val="221E1F"/>
        </w:rPr>
        <w:t>iagnostic criteria</w:t>
      </w:r>
      <w:r w:rsidR="00EF1127">
        <w:rPr>
          <w:color w:val="221E1F"/>
        </w:rPr>
        <w:t xml:space="preserve"> for PTSD are in flux due to the ambiguity surrounding this disorder. This literature </w:t>
      </w:r>
      <w:r w:rsidR="009652A8">
        <w:rPr>
          <w:color w:val="221E1F"/>
        </w:rPr>
        <w:t>s</w:t>
      </w:r>
      <w:r w:rsidR="00EF1127">
        <w:rPr>
          <w:color w:val="221E1F"/>
        </w:rPr>
        <w:t xml:space="preserve">ynthesis </w:t>
      </w:r>
      <w:r w:rsidR="005F60CE">
        <w:rPr>
          <w:color w:val="221E1F"/>
        </w:rPr>
        <w:t>presents</w:t>
      </w:r>
      <w:r w:rsidR="00BF2D07">
        <w:rPr>
          <w:color w:val="221E1F"/>
        </w:rPr>
        <w:t xml:space="preserve"> </w:t>
      </w:r>
      <w:r w:rsidR="00EF1127">
        <w:rPr>
          <w:color w:val="221E1F"/>
        </w:rPr>
        <w:t xml:space="preserve">a comprehensive overview of the current treatment options for PTSD to </w:t>
      </w:r>
      <w:r w:rsidR="005839CA">
        <w:rPr>
          <w:color w:val="221E1F"/>
        </w:rPr>
        <w:t>identify common targets and synergies</w:t>
      </w:r>
      <w:r w:rsidR="00D91522">
        <w:rPr>
          <w:color w:val="221E1F"/>
        </w:rPr>
        <w:t xml:space="preserve"> (potent </w:t>
      </w:r>
      <w:r w:rsidR="0099225A">
        <w:rPr>
          <w:color w:val="221E1F"/>
        </w:rPr>
        <w:t>multiplicative benefits rather than merely additive effects)</w:t>
      </w:r>
      <w:r w:rsidR="005839CA">
        <w:rPr>
          <w:color w:val="221E1F"/>
        </w:rPr>
        <w:t xml:space="preserve">. This insight </w:t>
      </w:r>
      <w:r w:rsidR="00AF7F29">
        <w:rPr>
          <w:color w:val="221E1F"/>
        </w:rPr>
        <w:t xml:space="preserve">is then used to suggest combinations of synergistically acting components for use in </w:t>
      </w:r>
      <w:r w:rsidR="00EF1127">
        <w:rPr>
          <w:color w:val="221E1F"/>
        </w:rPr>
        <w:t>novel integrative therapies</w:t>
      </w:r>
      <w:r w:rsidR="000038BC">
        <w:rPr>
          <w:color w:val="221E1F"/>
        </w:rPr>
        <w:t xml:space="preserve">. </w:t>
      </w:r>
      <w:r w:rsidR="00C7233F">
        <w:t>Chronic inflammation</w:t>
      </w:r>
      <w:r w:rsidR="000038BC">
        <w:t xml:space="preserve">, resulting from </w:t>
      </w:r>
      <w:r w:rsidR="00B26C27">
        <w:t>dysfunction of the immune system,</w:t>
      </w:r>
      <w:r w:rsidR="00C7233F">
        <w:t xml:space="preserve"> is </w:t>
      </w:r>
      <w:r w:rsidR="00B26C27">
        <w:t xml:space="preserve">identified as </w:t>
      </w:r>
      <w:r w:rsidR="00C56B6A">
        <w:t xml:space="preserve">a </w:t>
      </w:r>
      <w:r w:rsidR="00C7233F">
        <w:t xml:space="preserve">defining characteristic in PTSD patients and </w:t>
      </w:r>
      <w:r w:rsidR="00C56B6A">
        <w:t xml:space="preserve">a target </w:t>
      </w:r>
      <w:r w:rsidR="007C0483">
        <w:t xml:space="preserve">of multiple external modulators. These modulators of the immune </w:t>
      </w:r>
      <w:r w:rsidR="00B91F35">
        <w:t xml:space="preserve">response include dietary factors as well as many other aspects of </w:t>
      </w:r>
      <w:r w:rsidR="00C83F04">
        <w:t xml:space="preserve">lifestyle. For example, </w:t>
      </w:r>
      <w:r w:rsidR="00C7233F">
        <w:t>omega-3 fatty acid</w:t>
      </w:r>
      <w:r w:rsidR="00191B15">
        <w:t xml:space="preserve">s </w:t>
      </w:r>
      <w:r w:rsidR="00941639">
        <w:t xml:space="preserve">and antioxidants </w:t>
      </w:r>
      <w:r w:rsidR="006F5063">
        <w:t xml:space="preserve">such as </w:t>
      </w:r>
      <w:r w:rsidR="00941639">
        <w:t xml:space="preserve">Vitamin E </w:t>
      </w:r>
      <w:r w:rsidR="00C20BD1">
        <w:t xml:space="preserve">can mitigate chronic inflammation and </w:t>
      </w:r>
      <w:r w:rsidR="00365617">
        <w:t xml:space="preserve">the associated </w:t>
      </w:r>
      <w:r w:rsidR="00C20BD1">
        <w:t xml:space="preserve">dysregulation of the </w:t>
      </w:r>
      <w:r w:rsidR="00C20BD1" w:rsidRPr="008E1A1B">
        <w:t>hypothalamic pituitary adrenal axis</w:t>
      </w:r>
      <w:r w:rsidR="00C20BD1">
        <w:t xml:space="preserve">. </w:t>
      </w:r>
      <w:r w:rsidR="00593B59">
        <w:t>O</w:t>
      </w:r>
      <w:r w:rsidR="00C20BD1">
        <w:t>ther novel therapies like trauma sensitive yoga</w:t>
      </w:r>
      <w:r w:rsidR="009F00DA">
        <w:t xml:space="preserve">, </w:t>
      </w:r>
      <w:r w:rsidR="00172993">
        <w:t xml:space="preserve">cannabinoids, </w:t>
      </w:r>
      <w:r w:rsidR="00C20BD1">
        <w:t>therapy dogs</w:t>
      </w:r>
      <w:r w:rsidR="00C54DA9">
        <w:t xml:space="preserve">, </w:t>
      </w:r>
      <w:r w:rsidR="00C93E94">
        <w:t>virtual reality</w:t>
      </w:r>
      <w:r w:rsidR="000C1C81">
        <w:t xml:space="preserve"> exposure, electroacupuncture, </w:t>
      </w:r>
      <w:r w:rsidR="0015243E">
        <w:t>probiotic</w:t>
      </w:r>
      <w:r w:rsidR="00B567D3">
        <w:t>s to promote a healthy gut microbiota, exercise, and</w:t>
      </w:r>
      <w:r w:rsidR="000C1C81">
        <w:t xml:space="preserve"> </w:t>
      </w:r>
      <w:r w:rsidR="00507A7B">
        <w:t xml:space="preserve">pharmacology </w:t>
      </w:r>
      <w:r w:rsidR="00C20BD1">
        <w:t xml:space="preserve">can </w:t>
      </w:r>
      <w:r w:rsidR="00B4035A">
        <w:t xml:space="preserve">also be linked to </w:t>
      </w:r>
      <w:r w:rsidR="00703886">
        <w:t xml:space="preserve">immune-modulatory effects and may </w:t>
      </w:r>
      <w:r w:rsidR="0099225A">
        <w:t xml:space="preserve">thus contribute </w:t>
      </w:r>
      <w:r w:rsidR="008D0806">
        <w:t xml:space="preserve">further to </w:t>
      </w:r>
      <w:r w:rsidR="00703886">
        <w:t>syner</w:t>
      </w:r>
      <w:r w:rsidR="001512FC">
        <w:t xml:space="preserve">gistic benefits </w:t>
      </w:r>
      <w:r w:rsidR="00C20BD1">
        <w:t xml:space="preserve">when used in conjunction </w:t>
      </w:r>
      <w:r w:rsidR="001512FC">
        <w:t>with</w:t>
      </w:r>
      <w:r w:rsidR="00C20BD1">
        <w:t xml:space="preserve"> other</w:t>
      </w:r>
      <w:r w:rsidR="001512FC">
        <w:t xml:space="preserve"> immune-modulatory </w:t>
      </w:r>
      <w:r w:rsidR="00387FC4">
        <w:t>therapies</w:t>
      </w:r>
      <w:r w:rsidR="00C20BD1">
        <w:t xml:space="preserve">. </w:t>
      </w:r>
      <w:r w:rsidR="007A1D40">
        <w:rPr>
          <w:rFonts w:ascii="Times" w:hAnsi="Times"/>
          <w:color w:val="212121"/>
          <w:shd w:val="clear" w:color="auto" w:fill="FFFFFF"/>
        </w:rPr>
        <w:t>Th</w:t>
      </w:r>
      <w:r w:rsidR="00F945C5">
        <w:rPr>
          <w:rFonts w:ascii="Times" w:hAnsi="Times"/>
          <w:color w:val="212121"/>
          <w:shd w:val="clear" w:color="auto" w:fill="FFFFFF"/>
        </w:rPr>
        <w:t>is</w:t>
      </w:r>
      <w:r w:rsidR="007A1D40">
        <w:rPr>
          <w:rFonts w:ascii="Times" w:hAnsi="Times"/>
          <w:color w:val="212121"/>
          <w:shd w:val="clear" w:color="auto" w:fill="FFFFFF"/>
        </w:rPr>
        <w:t xml:space="preserve"> literature synthesis</w:t>
      </w:r>
      <w:r w:rsidR="00D30775">
        <w:rPr>
          <w:rFonts w:ascii="Times" w:hAnsi="Times"/>
          <w:color w:val="212121"/>
          <w:shd w:val="clear" w:color="auto" w:fill="FFFFFF"/>
        </w:rPr>
        <w:t xml:space="preserve"> suggests</w:t>
      </w:r>
      <w:r w:rsidR="00761D0D">
        <w:rPr>
          <w:rFonts w:ascii="Times" w:hAnsi="Times"/>
          <w:color w:val="212121"/>
          <w:shd w:val="clear" w:color="auto" w:fill="FFFFFF"/>
        </w:rPr>
        <w:t xml:space="preserve"> that</w:t>
      </w:r>
      <w:r w:rsidR="007A1D40">
        <w:rPr>
          <w:rFonts w:ascii="Times" w:hAnsi="Times"/>
          <w:color w:val="212121"/>
          <w:shd w:val="clear" w:color="auto" w:fill="FFFFFF"/>
        </w:rPr>
        <w:t xml:space="preserve"> a </w:t>
      </w:r>
      <w:r w:rsidR="00D30775">
        <w:rPr>
          <w:rFonts w:ascii="Times" w:hAnsi="Times"/>
          <w:color w:val="212121"/>
          <w:shd w:val="clear" w:color="auto" w:fill="FFFFFF"/>
        </w:rPr>
        <w:t xml:space="preserve">combination of multiple </w:t>
      </w:r>
      <w:r w:rsidR="007A1D40">
        <w:rPr>
          <w:rFonts w:ascii="Times" w:hAnsi="Times"/>
          <w:color w:val="212121"/>
          <w:shd w:val="clear" w:color="auto" w:fill="FFFFFF"/>
        </w:rPr>
        <w:t xml:space="preserve">therapies, medications, and lifestyle </w:t>
      </w:r>
      <w:r w:rsidR="002F6A45">
        <w:rPr>
          <w:rFonts w:ascii="Times" w:hAnsi="Times"/>
          <w:color w:val="212121"/>
          <w:shd w:val="clear" w:color="auto" w:fill="FFFFFF"/>
        </w:rPr>
        <w:t xml:space="preserve">management </w:t>
      </w:r>
      <w:r w:rsidR="00761D0D">
        <w:rPr>
          <w:rFonts w:ascii="Times" w:hAnsi="Times"/>
          <w:color w:val="212121"/>
          <w:shd w:val="clear" w:color="auto" w:fill="FFFFFF"/>
        </w:rPr>
        <w:t>has</w:t>
      </w:r>
      <w:r w:rsidR="002F6A45">
        <w:rPr>
          <w:rFonts w:ascii="Times" w:hAnsi="Times"/>
          <w:color w:val="212121"/>
          <w:shd w:val="clear" w:color="auto" w:fill="FFFFFF"/>
        </w:rPr>
        <w:t xml:space="preserve"> the potential to </w:t>
      </w:r>
      <w:r w:rsidR="008D0806">
        <w:rPr>
          <w:rFonts w:ascii="Times" w:hAnsi="Times"/>
          <w:color w:val="212121"/>
          <w:shd w:val="clear" w:color="auto" w:fill="FFFFFF"/>
        </w:rPr>
        <w:t xml:space="preserve">exert multiplicative benefits </w:t>
      </w:r>
      <w:r w:rsidR="00E21760">
        <w:rPr>
          <w:rFonts w:ascii="Times" w:hAnsi="Times"/>
          <w:color w:val="212121"/>
          <w:shd w:val="clear" w:color="auto" w:fill="FFFFFF"/>
        </w:rPr>
        <w:t xml:space="preserve">in </w:t>
      </w:r>
      <w:r w:rsidR="002F6A45">
        <w:rPr>
          <w:rFonts w:ascii="Times" w:hAnsi="Times"/>
          <w:color w:val="212121"/>
          <w:shd w:val="clear" w:color="auto" w:fill="FFFFFF"/>
        </w:rPr>
        <w:t>restor</w:t>
      </w:r>
      <w:r w:rsidR="00E21760">
        <w:rPr>
          <w:rFonts w:ascii="Times" w:hAnsi="Times"/>
          <w:color w:val="212121"/>
          <w:shd w:val="clear" w:color="auto" w:fill="FFFFFF"/>
        </w:rPr>
        <w:t xml:space="preserve">ing </w:t>
      </w:r>
      <w:r w:rsidR="002F6A45">
        <w:rPr>
          <w:rFonts w:ascii="Times" w:hAnsi="Times"/>
          <w:color w:val="212121"/>
          <w:shd w:val="clear" w:color="auto" w:fill="FFFFFF"/>
        </w:rPr>
        <w:t xml:space="preserve">balanced immune and stress responses and thereby treat </w:t>
      </w:r>
      <w:r w:rsidR="007A1D40">
        <w:rPr>
          <w:rFonts w:ascii="Times" w:hAnsi="Times"/>
          <w:color w:val="212121"/>
          <w:shd w:val="clear" w:color="auto" w:fill="FFFFFF"/>
        </w:rPr>
        <w:t xml:space="preserve">PTSD. </w:t>
      </w:r>
      <w:r w:rsidR="00761D0D">
        <w:rPr>
          <w:rFonts w:ascii="Times" w:hAnsi="Times"/>
          <w:color w:val="212121"/>
          <w:shd w:val="clear" w:color="auto" w:fill="FFFFFF"/>
        </w:rPr>
        <w:t>Furthermore,</w:t>
      </w:r>
      <w:r w:rsidR="00AA1CC6">
        <w:t xml:space="preserve"> suggestions</w:t>
      </w:r>
      <w:r w:rsidR="005571C1">
        <w:t xml:space="preserve"> are formulated</w:t>
      </w:r>
      <w:r w:rsidR="00AA1CC6">
        <w:t xml:space="preserve"> for further research and development which is </w:t>
      </w:r>
      <w:r w:rsidR="00AA1CC6">
        <w:lastRenderedPageBreak/>
        <w:t xml:space="preserve">necessary to fully realize the untapped potential clinicians and medical professionals can use to better diagnose and treat PTSD. </w:t>
      </w:r>
    </w:p>
    <w:bookmarkEnd w:id="2"/>
    <w:bookmarkEnd w:id="3"/>
    <w:p w14:paraId="473E3E00" w14:textId="77777777" w:rsidR="00AA1CC6" w:rsidRPr="00AA1CC6" w:rsidRDefault="00AA1CC6" w:rsidP="00271D41">
      <w:pPr>
        <w:autoSpaceDE w:val="0"/>
        <w:autoSpaceDN w:val="0"/>
        <w:adjustRightInd w:val="0"/>
        <w:spacing w:line="480" w:lineRule="auto"/>
      </w:pPr>
    </w:p>
    <w:p w14:paraId="517B6ECC" w14:textId="3FCE5C47" w:rsidR="00AF47A0" w:rsidRDefault="00AF47A0" w:rsidP="007A1D40">
      <w:pPr>
        <w:pStyle w:val="Default"/>
        <w:numPr>
          <w:ilvl w:val="0"/>
          <w:numId w:val="4"/>
        </w:numPr>
        <w:spacing w:line="480" w:lineRule="auto"/>
        <w:rPr>
          <w:rFonts w:ascii="Times New Roman" w:hAnsi="Times New Roman" w:cs="Times New Roman"/>
          <w:b/>
          <w:bCs/>
        </w:rPr>
      </w:pPr>
      <w:r>
        <w:rPr>
          <w:rFonts w:ascii="Times New Roman" w:hAnsi="Times New Roman" w:cs="Times New Roman"/>
          <w:b/>
          <w:bCs/>
        </w:rPr>
        <w:t xml:space="preserve">Introduction </w:t>
      </w:r>
    </w:p>
    <w:p w14:paraId="07566A45" w14:textId="77777777" w:rsidR="00AF47A0" w:rsidRDefault="00AF47A0" w:rsidP="007A1D40">
      <w:pPr>
        <w:pStyle w:val="Default"/>
        <w:spacing w:line="480" w:lineRule="auto"/>
        <w:rPr>
          <w:rFonts w:ascii="Times New Roman" w:hAnsi="Times New Roman" w:cs="Times New Roman"/>
          <w:b/>
          <w:bCs/>
        </w:rPr>
      </w:pPr>
    </w:p>
    <w:p w14:paraId="04C2C3DB" w14:textId="00EBE22F" w:rsidR="005A5802" w:rsidRPr="00A428E6" w:rsidRDefault="00B53C69" w:rsidP="007A1D40">
      <w:pPr>
        <w:autoSpaceDE w:val="0"/>
        <w:autoSpaceDN w:val="0"/>
        <w:adjustRightInd w:val="0"/>
        <w:spacing w:line="480" w:lineRule="auto"/>
        <w:rPr>
          <w:color w:val="221E1F"/>
        </w:rPr>
      </w:pPr>
      <w:r w:rsidRPr="00B53C69">
        <w:t>Post</w:t>
      </w:r>
      <w:r w:rsidR="00680F1C">
        <w:t>-</w:t>
      </w:r>
      <w:r w:rsidR="00B14A6E">
        <w:t>t</w:t>
      </w:r>
      <w:r w:rsidRPr="00B53C69">
        <w:t xml:space="preserve">raumatic </w:t>
      </w:r>
      <w:r w:rsidR="00B14A6E">
        <w:t>st</w:t>
      </w:r>
      <w:r w:rsidRPr="00B53C69">
        <w:t xml:space="preserve">ress </w:t>
      </w:r>
      <w:r w:rsidR="00B14A6E">
        <w:t>d</w:t>
      </w:r>
      <w:r w:rsidRPr="00B53C69">
        <w:t xml:space="preserve">isorder (PTSD) is a </w:t>
      </w:r>
      <w:r w:rsidR="003D7714">
        <w:t>crippling</w:t>
      </w:r>
      <w:r w:rsidRPr="00B53C69">
        <w:t xml:space="preserve">, and often chronic, psychiatric disorder </w:t>
      </w:r>
      <w:r w:rsidR="00EF1127">
        <w:t>triggered by</w:t>
      </w:r>
      <w:r w:rsidR="00680F1C">
        <w:t xml:space="preserve"> a severe traumatic event</w:t>
      </w:r>
      <w:r w:rsidR="00B75297">
        <w:t xml:space="preserve"> </w:t>
      </w:r>
      <w:r w:rsidR="00571EF2">
        <w:t>(Ozer et al. 2003)</w:t>
      </w:r>
      <w:r w:rsidRPr="00B53C69">
        <w:t xml:space="preserve">. </w:t>
      </w:r>
      <w:r w:rsidR="005B221C">
        <w:t>PTSD can occur concomitantly (has comorbidity) with other disorders, including eating disorders, suicidal ideation, bipolar mania, major depressive disorder, sleep disorders as well as an increased risk for poor-lifestyle choices</w:t>
      </w:r>
      <w:r w:rsidR="003D3140">
        <w:t xml:space="preserve"> </w:t>
      </w:r>
      <w:r w:rsidR="002A5C50">
        <w:t>(</w:t>
      </w:r>
      <w:r w:rsidR="00A91F3F">
        <w:t>Mills</w:t>
      </w:r>
      <w:r w:rsidR="002A5C50">
        <w:t xml:space="preserve"> et al. </w:t>
      </w:r>
      <w:r w:rsidR="00373FF9">
        <w:t>2006)</w:t>
      </w:r>
      <w:r w:rsidR="005B221C">
        <w:t xml:space="preserve">. </w:t>
      </w:r>
      <w:r w:rsidR="00CA105D">
        <w:t xml:space="preserve">Onset of  PTSD requires a traumatic stressor as </w:t>
      </w:r>
      <w:r w:rsidR="00CA105D" w:rsidRPr="005C1D9C">
        <w:rPr>
          <w:color w:val="221E1F"/>
        </w:rPr>
        <w:t>the precipitating event</w:t>
      </w:r>
      <w:r w:rsidR="00CA105D">
        <w:rPr>
          <w:color w:val="221E1F"/>
        </w:rPr>
        <w:t>, which interacts with multiple</w:t>
      </w:r>
      <w:r w:rsidR="00CA105D" w:rsidRPr="005C1D9C">
        <w:rPr>
          <w:color w:val="221E1F"/>
        </w:rPr>
        <w:t xml:space="preserve"> </w:t>
      </w:r>
      <w:r w:rsidR="00CA105D">
        <w:rPr>
          <w:color w:val="221E1F"/>
        </w:rPr>
        <w:t>b</w:t>
      </w:r>
      <w:r w:rsidR="00CA105D" w:rsidRPr="005C1D9C">
        <w:rPr>
          <w:color w:val="221E1F"/>
        </w:rPr>
        <w:t>iological and psychosocial risk factors</w:t>
      </w:r>
      <w:r w:rsidR="00CA105D">
        <w:rPr>
          <w:color w:val="221E1F"/>
        </w:rPr>
        <w:t xml:space="preserve"> that affect</w:t>
      </w:r>
      <w:r w:rsidR="00CA105D" w:rsidRPr="005C1D9C">
        <w:rPr>
          <w:color w:val="221E1F"/>
        </w:rPr>
        <w:t xml:space="preserve"> symptom onset, severity and </w:t>
      </w:r>
      <w:r w:rsidR="00CA105D">
        <w:rPr>
          <w:color w:val="221E1F"/>
        </w:rPr>
        <w:t>duration</w:t>
      </w:r>
      <w:r w:rsidR="00215703">
        <w:rPr>
          <w:color w:val="221E1F"/>
        </w:rPr>
        <w:t xml:space="preserve"> </w:t>
      </w:r>
      <w:r w:rsidR="00810D15">
        <w:rPr>
          <w:color w:val="221E1F"/>
        </w:rPr>
        <w:t>(Abdallah et al. 2019)</w:t>
      </w:r>
      <w:r w:rsidR="00CA105D" w:rsidRPr="005C1D9C">
        <w:rPr>
          <w:color w:val="221E1F"/>
        </w:rPr>
        <w:t>.</w:t>
      </w:r>
      <w:r w:rsidR="00CA105D">
        <w:rPr>
          <w:color w:val="221E1F"/>
        </w:rPr>
        <w:t xml:space="preserve"> PTSD </w:t>
      </w:r>
      <w:r w:rsidR="00E21760">
        <w:rPr>
          <w:color w:val="221E1F"/>
        </w:rPr>
        <w:t xml:space="preserve">disrupts </w:t>
      </w:r>
      <w:r w:rsidR="00CA105D" w:rsidRPr="005C1D9C">
        <w:rPr>
          <w:color w:val="221E1F"/>
        </w:rPr>
        <w:t>brain circuitry</w:t>
      </w:r>
      <w:r w:rsidR="00CA105D">
        <w:rPr>
          <w:color w:val="221E1F"/>
        </w:rPr>
        <w:t xml:space="preserve">, </w:t>
      </w:r>
      <w:r w:rsidR="00CA105D" w:rsidRPr="005C1D9C">
        <w:rPr>
          <w:color w:val="221E1F"/>
        </w:rPr>
        <w:t xml:space="preserve">neurochemistry, </w:t>
      </w:r>
      <w:r w:rsidR="00CA105D">
        <w:rPr>
          <w:color w:val="221E1F"/>
        </w:rPr>
        <w:t>and</w:t>
      </w:r>
      <w:r w:rsidR="00CA105D" w:rsidRPr="005C1D9C">
        <w:rPr>
          <w:color w:val="221E1F"/>
        </w:rPr>
        <w:t xml:space="preserve"> cellular, immune, endocrine and metabolic function</w:t>
      </w:r>
      <w:r w:rsidR="00CA105D">
        <w:rPr>
          <w:color w:val="221E1F"/>
        </w:rPr>
        <w:t>s</w:t>
      </w:r>
      <w:r w:rsidR="00807499">
        <w:rPr>
          <w:color w:val="221E1F"/>
        </w:rPr>
        <w:t xml:space="preserve"> </w:t>
      </w:r>
      <w:r w:rsidR="009069AB">
        <w:rPr>
          <w:color w:val="221E1F"/>
        </w:rPr>
        <w:t>(</w:t>
      </w:r>
      <w:proofErr w:type="spellStart"/>
      <w:r w:rsidR="0047090C">
        <w:rPr>
          <w:color w:val="221E1F"/>
        </w:rPr>
        <w:t>Leclercq</w:t>
      </w:r>
      <w:proofErr w:type="spellEnd"/>
      <w:r w:rsidR="0047090C">
        <w:rPr>
          <w:color w:val="221E1F"/>
        </w:rPr>
        <w:t xml:space="preserve"> et al. 2016)</w:t>
      </w:r>
      <w:r w:rsidR="00CA105D" w:rsidRPr="005C1D9C">
        <w:rPr>
          <w:color w:val="221E1F"/>
        </w:rPr>
        <w:t>.</w:t>
      </w:r>
      <w:r w:rsidR="00CA105D">
        <w:rPr>
          <w:color w:val="221E1F"/>
        </w:rPr>
        <w:t xml:space="preserve"> Furthermore, what is perceived as a traumatic event varies considerably among </w:t>
      </w:r>
      <w:r w:rsidR="000F0603">
        <w:rPr>
          <w:color w:val="221E1F"/>
        </w:rPr>
        <w:t>individuals</w:t>
      </w:r>
      <w:r w:rsidR="00F02293">
        <w:rPr>
          <w:color w:val="221E1F"/>
        </w:rPr>
        <w:t xml:space="preserve"> (Ozer et al. 2003)</w:t>
      </w:r>
      <w:r w:rsidR="00CA105D">
        <w:rPr>
          <w:color w:val="221E1F"/>
        </w:rPr>
        <w:t xml:space="preserve">. </w:t>
      </w:r>
      <w:r w:rsidRPr="00B53C69">
        <w:t xml:space="preserve">PTSD is </w:t>
      </w:r>
      <w:r w:rsidR="00680F1C">
        <w:t xml:space="preserve">commonly </w:t>
      </w:r>
      <w:r w:rsidRPr="00B53C69">
        <w:t>associated with intrusive memories, distressing dreams, dissociative reactions, avoidance of trauma-related stimuli, negative cognition and mood, increased arousal and irritability, and clinically significant distress and impairment in functioning</w:t>
      </w:r>
      <w:r w:rsidR="00680F1C">
        <w:t xml:space="preserve"> </w:t>
      </w:r>
      <w:r w:rsidR="00680F1C">
        <w:fldChar w:fldCharType="begin"/>
      </w:r>
      <w:r w:rsidR="00680F1C">
        <w:instrText xml:space="preserve"> ADDIN ZOTERO_ITEM CSL_CITATION {"citationID":"2w6Cy66k","properties":{"formattedCitation":"(Lapierre et al. 2007; Abdallah et al. 2019; Fitzpatrick et al. 2020)","plainCitation":"(Lapierre et al. 2007; Abdallah et al. 2019; Fitzpatrick et al. 2020)","noteIndex":0},"citationItems":[{"id":338,"uris":["http://zotero.org/users/local/wdQKiz3s/items/S59R83LH"],"uri":["http://zotero.org/users/local/wdQKiz3s/items/S59R83LH"],"itemData":{"id":338,"type":"article-journal","abstract":"The purpose of the present research was to identify rates of posttraumatic stress and depressive symptoms in soldiers returning from war. During reintegration training, U.S. Army soldiers, who recently returned from a 12-month deployment to either Iraq (Operation Iraqi Freedom, n = 2,275) or Afghanistan (Operation Enduring Freedom, n = 1,814), completed study materials. Surveys assessed self-reported levels of depression, posttraumatic stress, and life satisfaction. Results indicated that approximately 44% of soldiers who volunteered to participate self-reported clinically significant levels of depressive symptoms, posttraumatic stress symptoms, or both. Although assessing symptoms and not disorders, these results suggest a potentially high rate of mental health concerns in soldiers immediately after returning from a combat zone. Further research should examine the utility of broad scale interventions.","container-title":"Journal of Traumatic Stress","DOI":"10.1002/jts.20278","ISSN":"1573-6598","issue":"6","language":"en","note":"_eprint: https://onlinelibrary.wiley.com/doi/pdf/10.1002/jts.20278","page":"933-943","source":"Wiley Online Library","title":"Posttraumatic stress and depression symptoms in soldiers returning from combat operations in Iraq and Afghanistan","volume":"20","author":[{"family":"Lapierre","given":"Coady B."},{"family":"Schwegler","given":"Andria F."},{"family":"LaBauve","given":"Bill J."}],"issued":{"date-parts":[["2007"]]}}},{"id":257,"uris":["http://zotero.org/users/local/wdQKiz3s/items/JUUMGYZS"],"uri":["http://zotero.org/users/local/wdQKiz3s/items/JUUMGYZS"],"itemData":{"id":257,"type":"article-journal","abstract":"New approaches to the neurobiology of posttraumatic stress disorder (PTSD) are needed to address the reported crisis in PTSD drug development. These new approaches may require the field to move beyond a narrow fear-based perspective, as fear-based medications have not yet demonstrated compelling efficacy. Antidepressants, particularly recent rapid-acting antidepressants, exert complex effects on brain function and structure that build on novel aspects of the biology of PTSD, including a role for stress-related synaptic dysconnectivity in the neurobiology and treatment of PTSD. Here, we integrate this perspective within a broader framework, i.e., a dual pathology model of (1) stress-related synaptic loss arising from amino acid-based pathology, and (2) stress-related synaptic gain related to monoamine-based pathology. Then, we summarize the standard and experimental (e.g., ketamine) pharmacotherapeutic options for PTSD, and discuss their putative mechanism of action and clinical efficacy.","container-title":"Annual review of pharmacology and toxicology","DOI":"10.1146/annurev-pharmtox-010818-021701","ISSN":"0362-1642","journalAbbreviation":"Annu Rev Pharmacol Toxicol","note":"PMID: 30216745\nPMCID: PMC6326888","page":"171-189","source":"PubMed Central","title":"The Neurobiology and Pharmacotherapy of Posttraumatic Stress Disorder (PTSD)","volume":"59","author":[{"family":"Abdallah","given":"Chadi G."},{"family":"Averill","given":"Lynnette A."},{"family":"Akiki","given":"Teddy J."},{"family":"Raza","given":"Mohsin"},{"family":"Averill","given":"Christopher L."},{"family":"Gomaa","given":"Hassaan"},{"family":"Adikey","given":"Archana"},{"family":"Krystal","given":"John H."}],"issued":{"date-parts":[["2019",1,6]]}}},{"id":311,"uris":["http://zotero.org/users/local/wdQKiz3s/items/XTYEKMTM"],"uri":["http://zotero.org/users/local/wdQKiz3s/items/XTYEKMTM"],"itemData":{"id":311,"type":"article-journal","abstract":"Proponents of complex post-traumatic stress disorder (PTSD) constructs suggest that specific trauma characteristics, such as earlier age of first trauma (trauma age) and higher number of traumas (trauma count), may obstruct PTSD symptom reduction in treatment. PTSD and substance use disorders (SUD) commonly co-occur, but the impact of trauma age and count on PTSD treatment responses in a comorbid PTSD and SUD sample is unclear. Further, no studies have examined the impact of trauma characteristics on SUD treatment outcomes or whether their impact on either PTSD or SUD outcomes varies if PTSD is directly addressed. A secondary analysis of a randomized controlled trial was conducted to examine: (1) whether trauma age and count influence comorbid PTSD and SUD (PTSD+SUD) responses during and following treatment; and (2) whether these effects differed across an exposure-based, integrated PTSD+SUD treatment (Concurrent Treatment of PTSD and Substance Use Disorders using Prolonged Exposure; COPE) and a SUD-only focused treatment (Relapse Prevention Therapy; RPT). Individuals with PTSD+SUD randomized to COPE (n = 39) or RPT (n = 43) provided weekly measurements of PTSD and SUD. Across COPE and RPT, earlier trauma age predicted reduced SUD improvement (B = −0.01, standard error = 0.00). Trauma count did not predict changes in PTSD or SUD during or following treatment. These findings suggest that excluding individuals from exposure-based, integrated treatments on the basis of trauma characteristics is not empirically supported. However, individuals with earlier trauma ages may require additional or unique clinical attention to improve their SUD outcomes.","container-title":"Journal of Substance Abuse Treatment","DOI":"10.1016/j.jsat.2020.01.012","ISSN":"0740-5472","journalAbbreviation":"Journal of Substance Abuse Treatment","language":"en","page":"107976","source":"ScienceDirect","title":"The impact of trauma characteristics on post-traumatic stress disorder and substance use disorder outcomes across integrated and substance use treatments","volume":"113","author":[{"family":"Fitzpatrick","given":"Skye"},{"family":"Saraiya","given":"Tanya"},{"family":"Lopez-Castro","given":"Teresa"},{"family":"Ruglass","given":"Lesia M."},{"family":"Hien","given":"Denise"}],"issued":{"date-parts":[["2020",6,1]]}}}],"schema":"https://github.com/citation-style-language/schema/raw/master/csl-citation.json"} </w:instrText>
      </w:r>
      <w:r w:rsidR="00680F1C">
        <w:fldChar w:fldCharType="separate"/>
      </w:r>
      <w:r w:rsidR="00680F1C">
        <w:rPr>
          <w:noProof/>
        </w:rPr>
        <w:t>(Lapierre et al. 2007; Abdallah et al. 2019; Fitzpatrick et al. 2020)</w:t>
      </w:r>
      <w:r w:rsidR="00680F1C">
        <w:fldChar w:fldCharType="end"/>
      </w:r>
      <w:r w:rsidRPr="00B53C69">
        <w:t xml:space="preserve">. </w:t>
      </w:r>
      <w:r w:rsidR="003C1B62">
        <w:t>An</w:t>
      </w:r>
      <w:r w:rsidRPr="00B53C69">
        <w:t xml:space="preserve"> estimated 70% of the world population ha</w:t>
      </w:r>
      <w:r w:rsidR="001B0BFC">
        <w:t>s</w:t>
      </w:r>
      <w:r w:rsidRPr="00B53C69">
        <w:t xml:space="preserve"> been exposed to trauma</w:t>
      </w:r>
      <w:r w:rsidR="004333B9">
        <w:t>,</w:t>
      </w:r>
      <w:r w:rsidRPr="00B53C69">
        <w:t xml:space="preserve"> and approximately 6% of trauma-exposed individuals </w:t>
      </w:r>
      <w:r w:rsidR="00680F1C">
        <w:t xml:space="preserve">develop PTSD </w:t>
      </w:r>
      <w:r w:rsidR="00680F1C">
        <w:fldChar w:fldCharType="begin"/>
      </w:r>
      <w:r w:rsidR="00680F1C">
        <w:instrText xml:space="preserve"> ADDIN ZOTERO_ITEM CSL_CITATION {"citationID":"HFkhRM5h","properties":{"formattedCitation":"(Koenen et al. 2017; Abdallah et al. 2019)","plainCitation":"(Koenen et al. 2017; Abdallah et al. 2019)","noteIndex":0},"citationItems":[{"id":344,"uris":["http://zotero.org/users/local/wdQKiz3s/items/WMZC6YL4"],"uri":["http://zotero.org/users/local/wdQKiz3s/items/WMZC6YL4"],"itemData":{"id":344,"type":"article-journal","abstract":"Background\n              Traumatic events are common globally; however, comprehensive population-based cross-national data on the epidemiology of posttraumatic stress disorder (PTSD), the paradigmatic trauma-related mental disorder, are lacking.\n            \n            \n              Methods\n              Data were analyzed from 26 population surveys in the World Health Organization World Mental Health Surveys. A total of 71 083 respondents ages 18+ participated. The Composite International Diagnostic Interview assessed exposure to traumatic events as well as 30-day, 12-month, and lifetime PTSD. Respondents were also assessed for treatment in the 12 months preceding the survey. Age of onset distributions were examined by country income level. Associations of PTSD were examined with country income, world region, and respondent demographics.\n            \n            \n              Results\n              The cross-national lifetime prevalence of PTSD was 3.9% in the total sample and 5.6% among the trauma exposed. Half of respondents with PTSD reported persistent symptoms. Treatment seeking in high-income countries (53.5%) was roughly double that in low-lower middle income (22.8%) and upper-middle income (28.7%) countries. Social disadvantage, including younger age, female sex, being unmarried, being less educated, having lower household income, and being unemployed, was associated with increased risk of lifetime PTSD among the trauma exposed.\n            \n            \n              Conclusions\n              PTSD is prevalent cross-nationally, with half of all global cases being persistent. Only half of those with severe PTSD report receiving any treatment and only a minority receive specialty mental health care. Striking disparities in PTSD treatment exist by country income level. Increasing access to effective treatment, especially in low- and middle-income countries, remains critical for reducing the population burden of PTSD.","container-title":"Psychological Medicine","DOI":"10.1017/S0033291717000708","ISSN":"0033-2917, 1469-8978","issue":"13","journalAbbreviation":"Psychol. Med.","language":"en","page":"2260-2274","source":"DOI.org (Crossref)","title":"Posttraumatic stress disorder in the World Mental Health Surveys","volume":"47","author":[{"family":"Koenen","given":"K. C."},{"family":"Ratanatharathorn","given":"A."},{"family":"Ng","given":"L."},{"family":"McLaughlin","given":"K. A."},{"family":"Bromet","given":"E. J."},{"family":"Stein","given":"D. J."},{"family":"Karam","given":"E. G."},{"family":"Meron Ruscio","given":"A."},{"family":"Benjet","given":"C."},{"family":"Scott","given":"K."},{"family":"Atwoli","given":"L."},{"family":"Petukhova","given":"M."},{"family":"Lim","given":"C. C.W."},{"family":"Aguilar-Gaxiola","given":"S."},{"family":"Al-Hamzawi","given":"A."},{"family":"Alonso","given":"J."},{"family":"Bunting","given":"B."},{"family":"Ciutan","given":"M."},{"family":"Girolamo","given":"G.","non-dropping-particle":"de"},{"family":"Degenhardt","given":"L."},{"family":"Gureje","given":"O."},{"family":"Haro","given":"J. M."},{"family":"Huang","given":"Y."},{"family":"Kawakami","given":"N."},{"family":"Lee","given":"S."},{"family":"Navarro-Mateu","given":"F."},{"family":"Pennell","given":"B.-E."},{"family":"Piazza","given":"M."},{"family":"Sampson","given":"N."},{"family":"Have","given":"M.","non-dropping-particle":"ten"},{"family":"Torres","given":"Y."},{"family":"Viana","given":"M. C."},{"family":"Williams","given":"D."},{"family":"Xavier","given":"M."},{"family":"Kessler","given":"R. C."}],"issued":{"date-parts":[["2017",10]]}}},{"id":257,"uris":["http://zotero.org/users/local/wdQKiz3s/items/JUUMGYZS"],"uri":["http://zotero.org/users/local/wdQKiz3s/items/JUUMGYZS"],"itemData":{"id":257,"type":"article-journal","abstract":"New approaches to the neurobiology of posttraumatic stress disorder (PTSD) are needed to address the reported crisis in PTSD drug development. These new approaches may require the field to move beyond a narrow fear-based perspective, as fear-based medications have not yet demonstrated compelling efficacy. Antidepressants, particularly recent rapid-acting antidepressants, exert complex effects on brain function and structure that build on novel aspects of the biology of PTSD, including a role for stress-related synaptic dysconnectivity in the neurobiology and treatment of PTSD. Here, we integrate this perspective within a broader framework, i.e., a dual pathology model of (1) stress-related synaptic loss arising from amino acid-based pathology, and (2) stress-related synaptic gain related to monoamine-based pathology. Then, we summarize the standard and experimental (e.g., ketamine) pharmacotherapeutic options for PTSD, and discuss their putative mechanism of action and clinical efficacy.","container-title":"Annual review of pharmacology and toxicology","DOI":"10.1146/annurev-pharmtox-010818-021701","ISSN":"0362-1642","journalAbbreviation":"Annu Rev Pharmacol Toxicol","note":"PMID: 30216745\nPMCID: PMC6326888","page":"171-189","source":"PubMed Central","title":"The Neurobiology and Pharmacotherapy of Posttraumatic Stress Disorder (PTSD)","volume":"59","author":[{"family":"Abdallah","given":"Chadi G."},{"family":"Averill","given":"Lynnette A."},{"family":"Akiki","given":"Teddy J."},{"family":"Raza","given":"Mohsin"},{"family":"Averill","given":"Christopher L."},{"family":"Gomaa","given":"Hassaan"},{"family":"Adikey","given":"Archana"},{"family":"Krystal","given":"John H."}],"issued":{"date-parts":[["2019",1,6]]}}}],"schema":"https://github.com/citation-style-language/schema/raw/master/csl-citation.json"} </w:instrText>
      </w:r>
      <w:r w:rsidR="00680F1C">
        <w:fldChar w:fldCharType="separate"/>
      </w:r>
      <w:r w:rsidR="00680F1C">
        <w:rPr>
          <w:noProof/>
        </w:rPr>
        <w:t>(Koenen et al. 2017; Abdallah et al. 2019)</w:t>
      </w:r>
      <w:r w:rsidR="00680F1C">
        <w:fldChar w:fldCharType="end"/>
      </w:r>
      <w:r w:rsidR="003D7714">
        <w:t xml:space="preserve">. </w:t>
      </w:r>
      <w:r w:rsidR="00EF1127">
        <w:t>P</w:t>
      </w:r>
      <w:r w:rsidR="001749E1">
        <w:t>opulations w</w:t>
      </w:r>
      <w:r w:rsidR="00AB6036">
        <w:t>ith</w:t>
      </w:r>
      <w:r w:rsidR="001749E1">
        <w:t xml:space="preserve"> a higher</w:t>
      </w:r>
      <w:r w:rsidR="003622C1">
        <w:t xml:space="preserve">-than-average </w:t>
      </w:r>
      <w:r w:rsidR="003126EA">
        <w:t xml:space="preserve">prevalence </w:t>
      </w:r>
      <w:r w:rsidR="001749E1">
        <w:t>of PTSD</w:t>
      </w:r>
      <w:r w:rsidR="00EF1127">
        <w:t xml:space="preserve"> include</w:t>
      </w:r>
      <w:r w:rsidR="001749E1">
        <w:t xml:space="preserve"> combat-exposed veterans </w:t>
      </w:r>
      <w:r w:rsidR="00EF1127">
        <w:t xml:space="preserve">who exhibit </w:t>
      </w:r>
      <w:r w:rsidR="001749E1">
        <w:t>rates close to 25%, or 1 in every 4</w:t>
      </w:r>
      <w:r w:rsidR="000F0603">
        <w:t>, of</w:t>
      </w:r>
      <w:r w:rsidR="001749E1">
        <w:t xml:space="preserve"> combat veterans </w:t>
      </w:r>
      <w:r w:rsidR="006A17FA">
        <w:fldChar w:fldCharType="begin"/>
      </w:r>
      <w:r w:rsidR="006A17FA">
        <w:instrText xml:space="preserve"> ADDIN ZOTERO_ITEM CSL_CITATION {"citationID":"72LfONEr","properties":{"formattedCitation":"(Richardson et al. 2010; Gates et al. 2012; Fulton et al. 2015)","plainCitation":"(Richardson et al. 2010; Gates et al. 2012; Fulton et al. 2015)","noteIndex":0},"citationItems":[{"id":356,"uris":["http://zotero.org/users/local/wdQKiz3s/items/IHDSIW8Y"],"uri":["http://zotero.org/users/local/wdQKiz3s/items/IHDSIW8Y"],"itemData":{"id":356,"type":"article-journal","abstract":"The aim of the present study was to provide a critical review of prevalence estimates of combat-related post-traumatic stress disorder (PTSD) among military personnel and veterans, and of the relevant factors that may account for the variability of estimates within and across cohorts, including methodological and conceptual factors accounting for differences in prevalence rates across nations, conflicts/wars, and studies. MEDLINE and PsycINFO databases were examined for literature on combat-related PTSD. The following terms were used independently and in combinations in this search: PTSD, combat, veterans, military, epidemiology, prevalence. The point prevalence of combat-related PTSD in US military veterans since the Vietnam War ranged from approximately 2% to 17%. Studies of recent conflicts suggest that combat-related PTSD afflicts between 4% and 17% of US Iraq War veterans, but only 3–6% of returning UK Iraq War veterans. Thus, the prevalence range is narrower and tends to have a lower ceiling among combat veterans of non-US Western nations. Variability in prevalence is likely due to differences in sampling strategies; measurement strategies; inclusion and measurement of the DSM-IV clinically significant impairment criterion; timing and latency of assessment and potential for recall bias; and combat experiences. Prevalence rates are also likely affected by issues related to PTSD course, chronicity, and comorbidity; symptom overlap with other psychiatric disorders; and sociopolitical and cultural factors that may vary over time and by nation. The disorder represents a significant and costly illness to veterans, their families, and society as a whole. Further carefully conceptualized research, however, is needed to advance our understanding of disorder prevalence, as well as associated information on course, phenomenology, protective factors, treatment, and economic costs.","container-title":"Australian &amp; New Zealand Journal of Psychiatry","DOI":"10.3109/00048670903393597","ISSN":"0004-8674, 1440-1614","issue":"1","journalAbbreviation":"Aust N Z J Psychiatry","language":"en","page":"4-19","source":"DOI.org (Crossref)","title":"Prevalence Estimates of Combat-Related Post-Traumatic Stress Disorder: Critical Review","title-short":"Prevalence Estimates of Combat-Related Post-Traumatic Stress Disorder","volume":"44","author":[{"family":"Richardson","given":"Lisa K."},{"family":"Frueh","given":"B. Christopher"},{"family":"Acierno","given":"Ronald"}],"issued":{"date-parts":[["2010",1]]}}},{"id":348,"uris":["http://zotero.org/users/local/wdQKiz3s/items/6CJGN4PC"],"uri":["http://zotero.org/users/local/wdQKiz3s/items/6CJGN4PC"],"itemData":{"id":348,"type":"article-journal","abstract":"Posttraumatic stress disorder (PTSD) is a psychiatric disorder that affects 7–8% of the general U.S. population at some point during their lifetime; however, the prevalence is much higher among certain subgroups, including active duty military personnel and veterans. In this article, we review the empirical literature on the epidemiology and screening of PTSD in military and veteran populations, including the availability of sensitive and reliable screening tools. Although estimates vary across studies, evidence suggests that the prevalence of PTSD in deployed U.S. military personnel may be as high as 14–16%. Prior studies have identified trauma characteristics and pre- and posttrauma factors that increase risk of PTSD among veterans and military personnel. This information may help to inform prevention and screening efforts, as screening programs could be targeted to high-risk populations. Large-scale screening efforts have recently been implemented by the U.S. Departments of Defense and Veterans Affairs. Given the prevalence and potential consequences of PTSD among veterans and active duty military personnel, development and continued evaluation of effective screening methods is an important public health need. (PsycINFO Database Record (c) 2016 APA, all rights reserved) (Source: journal abstract)","container-title":"Psychological Services","DOI":"http://dx.doi.org.colorado.idm.oclc.org/10.1037/a0027649","ISSN":"1541-1559","issue":"4","language":"English","note":"ISBN: 9781433813177\nnumber-of-pages: 361-382\npublisher: Educational Publishing Foundation\n(US)","page":"361-382","source":"ProQuest","title":"Posttraumatic stress disorder in veterans and military personnel: Epidemiology, screening, and case recognition","title-short":"Posttraumatic stress disorder in veterans and military personnel","volume":"9","author":[{"family":"Gates","given":"Margaret A."},{"family":"Holowka","given":"Darren W."},{"family":"Vasterling","given":"Jennifer J."},{"family":"Keane","given":"Terence M."},{"family":"Marx","given":"Brian P."},{"family":"Rosen","given":"Raymond C."}],"issued":{"date-parts":[["2012",11]]}}},{"id":345,"uris":["http://zotero.org/users/local/wdQKiz3s/items/QNAHX7SC"],"uri":["http://zotero.org/users/local/wdQKiz3s/items/QNAHX7SC"],"itemData":{"id":345,"type":"article-journal","abstract":"Literature on posttraumatic stress disorder (PTSD) prevalence among Operations Enduring Freedom and Iraqi Freedom (OEF/OIF) veterans report estimates ranging from 1.4% to 60%. A more precise estimate is necessary for projecting healthcare needs and informing public policy. This meta-analysis examined 33 studies published between 2007 and 2013 involving 4,945,897 OEF/OIF veterans, and PTSD prevalence was estimated at 23%. Publication year and percentage of Caucasian participants and formerly active duty participants explained significant variability in prevalence across studies. PTSD remains a concern for a substantial percentage of OEF/OIF veterans. To date, most studies have estimated prevalence among OEF/OIF veterans using VA medical chart review. Thus, results generalize primarily to the prevalence of PTSD in medical records of OEF/OIF veterans who use VA services. Additional research is needed with randomly selected, representative samples administered diagnostic interviews. Significant financial and mental health resources are needed to promote recovery from PTSD.","container-title":"Journal of Anxiety Disorders","DOI":"10.1016/j.janxdis.2015.02.003","ISSN":"0887-6185","journalAbbreviation":"Journal of Anxiety Disorders","language":"en","page":"98-107","source":"ScienceDirect","title":"The prevalence of posttraumatic stress disorder in Operation Enduring Freedom/Operation Iraqi Freedom (OEF/OIF) Veterans: A meta-analysis","title-short":"The prevalence of posttraumatic stress disorder in Operation Enduring Freedom/Operation Iraqi Freedom (OEF/OIF) Veterans","volume":"31","author":[{"family":"Fulton","given":"Jessica J."},{"family":"Calhoun","given":"Patrick S."},{"family":"Wagner","given":"H. Ryan"},{"family":"Schry","given":"Amie R."},{"family":"Hair","given":"Lauren P."},{"family":"Feeling","given":"Nicole"},{"family":"Elbogen","given":"Eric"},{"family":"Beckham","given":"Jean C."}],"issued":{"date-parts":[["2015",4,1]]}}}],"schema":"https://github.com/citation-style-language/schema/raw/master/csl-citation.json"} </w:instrText>
      </w:r>
      <w:r w:rsidR="006A17FA">
        <w:fldChar w:fldCharType="separate"/>
      </w:r>
      <w:r w:rsidR="006A17FA">
        <w:rPr>
          <w:noProof/>
        </w:rPr>
        <w:t>(Richardson et al. 2010; Gates et al. 2012; Fulton et al. 2015)</w:t>
      </w:r>
      <w:r w:rsidR="006A17FA">
        <w:fldChar w:fldCharType="end"/>
      </w:r>
      <w:r w:rsidR="006A17FA">
        <w:t>.</w:t>
      </w:r>
      <w:r w:rsidR="008A506C">
        <w:t xml:space="preserve"> </w:t>
      </w:r>
      <w:r w:rsidR="006A17FA">
        <w:t xml:space="preserve"> </w:t>
      </w:r>
      <w:r w:rsidR="005A5802">
        <w:t>The</w:t>
      </w:r>
      <w:r w:rsidR="00111275">
        <w:t>re has been</w:t>
      </w:r>
      <w:r w:rsidR="005A5802">
        <w:t xml:space="preserve"> stigma surrounding PTSD</w:t>
      </w:r>
      <w:r w:rsidR="00426C28">
        <w:t xml:space="preserve">, i.e., </w:t>
      </w:r>
      <w:r w:rsidR="005A5802">
        <w:t xml:space="preserve">the disorder is </w:t>
      </w:r>
      <w:r w:rsidR="00065DE5">
        <w:t xml:space="preserve">often </w:t>
      </w:r>
      <w:r w:rsidR="005A5802">
        <w:t>associated with negative connotations</w:t>
      </w:r>
      <w:r w:rsidR="000C0CC1">
        <w:t xml:space="preserve"> like </w:t>
      </w:r>
      <w:r w:rsidR="00305378">
        <w:lastRenderedPageBreak/>
        <w:t xml:space="preserve">unpredictable behavior or violent tendencies </w:t>
      </w:r>
      <w:r w:rsidR="00513A63">
        <w:fldChar w:fldCharType="begin"/>
      </w:r>
      <w:r w:rsidR="00B12F27">
        <w:instrText xml:space="preserve"> ADDIN ZOTERO_ITEM CSL_CITATION {"citationID":"KYJyW7ga","properties":{"formattedCitation":"(Lapierre et al. 2007)","plainCitation":"(Lapierre et al. 2007)","noteIndex":0},"citationItems":[{"id":338,"uris":["http://zotero.org/users/local/wdQKiz3s/items/S59R83LH"],"uri":["http://zotero.org/users/local/wdQKiz3s/items/S59R83LH"],"itemData":{"id":338,"type":"article-journal","abstract":"The purpose of the present research was to identify rates of posttraumatic stress and depressive symptoms in soldiers returning from war. During reintegration training, U.S. Army soldiers, who recently returned from a 12-month deployment to either Iraq (Operation Iraqi Freedom, n = 2,275) or Afghanistan (Operation Enduring Freedom, n = 1,814), completed study materials. Surveys assessed self-reported levels of depression, posttraumatic stress, and life satisfaction. Results indicated that approximately 44% of soldiers who volunteered to participate self-reported clinically significant levels of depressive symptoms, posttraumatic stress symptoms, or both. Although assessing symptoms and not disorders, these results suggest a potentially high rate of mental health concerns in soldiers immediately after returning from a combat zone. Further research should examine the utility of broad scale interventions.","container-title":"Journal of Traumatic Stress","DOI":"10.1002/jts.20278","ISSN":"1573-6598","issue":"6","language":"en","note":"_eprint: https://onlinelibrary.wiley.com/doi/pdf/10.1002/jts.20278","page":"933-943","source":"Wiley Online Library","title":"Posttraumatic stress and depression symptoms in soldiers returning from combat operations in Iraq and Afghanistan","volume":"20","author":[{"family":"Lapierre","given":"Coady B."},{"family":"Schwegler","given":"Andria F."},{"family":"LaBauve","given":"Bill J."}],"issued":{"date-parts":[["2007"]]}}}],"schema":"https://github.com/citation-style-language/schema/raw/master/csl-citation.json"} </w:instrText>
      </w:r>
      <w:r w:rsidR="00513A63">
        <w:fldChar w:fldCharType="separate"/>
      </w:r>
      <w:r w:rsidR="00B12F27">
        <w:rPr>
          <w:noProof/>
        </w:rPr>
        <w:t>(Lapierre et al. 2007)</w:t>
      </w:r>
      <w:r w:rsidR="00513A63">
        <w:fldChar w:fldCharType="end"/>
      </w:r>
      <w:r w:rsidR="005A5802">
        <w:t>. Unfortunately,</w:t>
      </w:r>
      <w:r w:rsidR="00C4154A">
        <w:t xml:space="preserve"> treatment options are </w:t>
      </w:r>
      <w:r w:rsidR="004F49C7">
        <w:t xml:space="preserve">currently </w:t>
      </w:r>
      <w:r w:rsidR="00C4154A">
        <w:t xml:space="preserve">limited </w:t>
      </w:r>
      <w:r w:rsidR="00EF1127">
        <w:t xml:space="preserve">to </w:t>
      </w:r>
      <w:r w:rsidR="00C4154A">
        <w:t>only two medications</w:t>
      </w:r>
      <w:r w:rsidR="004B2D21">
        <w:t xml:space="preserve"> </w:t>
      </w:r>
      <w:r w:rsidR="006E6BA1">
        <w:t xml:space="preserve">approved by the Food and Drug Administration (FDA) </w:t>
      </w:r>
      <w:r w:rsidR="004B2D21">
        <w:t xml:space="preserve">that </w:t>
      </w:r>
      <w:r w:rsidR="00142300">
        <w:t>both are</w:t>
      </w:r>
      <w:r w:rsidR="00A55D33">
        <w:t xml:space="preserve"> classified as slow-acting antidepressants </w:t>
      </w:r>
      <w:r w:rsidR="009F2318">
        <w:t>with narrow efficacy</w:t>
      </w:r>
      <w:r w:rsidR="00D3021D">
        <w:t xml:space="preserve"> </w:t>
      </w:r>
      <w:r w:rsidR="00D3021D">
        <w:fldChar w:fldCharType="begin"/>
      </w:r>
      <w:r w:rsidR="00D3021D">
        <w:instrText xml:space="preserve"> ADDIN ZOTERO_ITEM CSL_CITATION {"citationID":"0Blx4G8B","properties":{"formattedCitation":"(Abdallah et al. 2019; Ong 2020)","plainCitation":"(Abdallah et al. 2019; Ong 2020)","noteIndex":0},"citationItems":[{"id":257,"uris":["http://zotero.org/users/local/wdQKiz3s/items/JUUMGYZS"],"uri":["http://zotero.org/users/local/wdQKiz3s/items/JUUMGYZS"],"itemData":{"id":257,"type":"article-journal","abstract":"New approaches to the neurobiology of posttraumatic stress disorder (PTSD) are needed to address the reported crisis in PTSD drug development. These new approaches may require the field to move beyond a narrow fear-based perspective, as fear-based medications have not yet demonstrated compelling efficacy. Antidepressants, particularly recent rapid-acting antidepressants, exert complex effects on brain function and structure that build on novel aspects of the biology of PTSD, including a role for stress-related synaptic dysconnectivity in the neurobiology and treatment of PTSD. Here, we integrate this perspective within a broader framework, i.e., a dual pathology model of (1) stress-related synaptic loss arising from amino acid-based pathology, and (2) stress-related synaptic gain related to monoamine-based pathology. Then, we summarize the standard and experimental (e.g., ketamine) pharmacotherapeutic options for PTSD, and discuss their putative mechanism of action and clinical efficacy.","container-title":"Annual review of pharmacology and toxicology","DOI":"10.1146/annurev-pharmtox-010818-021701","ISSN":"0362-1642","journalAbbreviation":"Annu Rev Pharmacol Toxicol","note":"PMID: 30216745\nPMCID: PMC6326888","page":"171-189","source":"PubMed Central","title":"The Neurobiology and Pharmacotherapy of Posttraumatic Stress Disorder (PTSD)","volume":"59","author":[{"family":"Abdallah","given":"Chadi G."},{"family":"Averill","given":"Lynnette A."},{"family":"Akiki","given":"Teddy J."},{"family":"Raza","given":"Mohsin"},{"family":"Averill","given":"Christopher L."},{"family":"Gomaa","given":"Hassaan"},{"family":"Adikey","given":"Archana"},{"family":"Krystal","given":"John H."}],"issued":{"date-parts":[["2019",1,6]]}}},{"id":308,"uris":["http://zotero.org/users/local/wdQKiz3s/items/YZYVUSYN"],"uri":["http://zotero.org/users/local/wdQKiz3s/items/YZYVUSYN"],"itemData":{"id":308,"type":"article-journal","abstract":"Trauma-sensitive yoga (TSY) is a body-oriented yoga practice, intentionally designed to help complex trauma survivors recover by developing self-awareness, self-regulation, and a benevolent relationship with their bodies. There is a growing body of evidence supporting TSY’s efficacy in reducing participants’ posttraumatic stress disorder (PTSD) symptoms and facilitating holistic trauma recovery beyond conventional psychotherapies. Given the promise shown by TSY as an adjunct trauma intervention that is consistent with a trauma-informed approach, it is timely to discuss how counselors can integrate TSY into their psychotherapeutic interventions to optimize trauma recovery. This article begins with a review of the TSY literature, followed by recommendations for counselors to weave TSY-informed interventions into psychotherapy with complex trauma clients, further illustrated in a case vignette.","container-title":"Journal of Creativity in Mental Health","DOI":"10.1080/15401383.2020.1761498","ISSN":"1540-1383","issue":"0","note":"publisher: Routledge\n_eprint: https://doi.org/10.1080/15401383.2020.1761498","page":"1-14","source":"Taylor and Francis+NEJM","title":"Treating Complex Trauma Survivors: A Trauma-Sensitive Yoga (TSY)-Informed Psychotherapeutic Approach","title-short":"Treating Complex Trauma Survivors","volume":"0","author":[{"family":"Ong","given":"Isabelle"}],"issued":{"date-parts":[["2020",5,18]]}}}],"schema":"https://github.com/citation-style-language/schema/raw/master/csl-citation.json"} </w:instrText>
      </w:r>
      <w:r w:rsidR="00D3021D">
        <w:fldChar w:fldCharType="separate"/>
      </w:r>
      <w:r w:rsidR="00D3021D">
        <w:rPr>
          <w:noProof/>
        </w:rPr>
        <w:t>(Abdallah et al. 2019; Ong 2020)</w:t>
      </w:r>
      <w:r w:rsidR="00D3021D">
        <w:fldChar w:fldCharType="end"/>
      </w:r>
      <w:r w:rsidR="00D3021D">
        <w:t xml:space="preserve">. </w:t>
      </w:r>
    </w:p>
    <w:p w14:paraId="3EE06D0C" w14:textId="77777777" w:rsidR="002A6681" w:rsidRDefault="002A6681" w:rsidP="007A1D40">
      <w:pPr>
        <w:pStyle w:val="Default"/>
        <w:spacing w:line="480" w:lineRule="auto"/>
        <w:rPr>
          <w:rFonts w:ascii="Times New Roman" w:hAnsi="Times New Roman" w:cs="Times New Roman"/>
        </w:rPr>
      </w:pPr>
    </w:p>
    <w:p w14:paraId="67F3ACAD" w14:textId="6616DB44" w:rsidR="009D2966" w:rsidRDefault="00921E09" w:rsidP="007A1D40">
      <w:pPr>
        <w:autoSpaceDE w:val="0"/>
        <w:autoSpaceDN w:val="0"/>
        <w:adjustRightInd w:val="0"/>
        <w:spacing w:line="480" w:lineRule="auto"/>
      </w:pPr>
      <w:r>
        <w:t xml:space="preserve">The purpose of this </w:t>
      </w:r>
      <w:r w:rsidR="00C619E4">
        <w:t>thesis</w:t>
      </w:r>
      <w:r>
        <w:t xml:space="preserve"> is to provide </w:t>
      </w:r>
      <w:r w:rsidR="00745ACC">
        <w:t xml:space="preserve">a </w:t>
      </w:r>
      <w:r w:rsidR="00C619E4">
        <w:t xml:space="preserve">summary of </w:t>
      </w:r>
      <w:r w:rsidR="00146403">
        <w:t>newly</w:t>
      </w:r>
      <w:r w:rsidR="00270DEE">
        <w:t xml:space="preserve"> discovered methods</w:t>
      </w:r>
      <w:r w:rsidR="00A22021">
        <w:t xml:space="preserve"> for diagnosis,</w:t>
      </w:r>
      <w:r w:rsidR="00EF3EF3">
        <w:t xml:space="preserve"> prevention, and</w:t>
      </w:r>
      <w:r>
        <w:t xml:space="preserve"> treatment</w:t>
      </w:r>
      <w:r w:rsidR="00DE01AC">
        <w:t xml:space="preserve"> of PTSD</w:t>
      </w:r>
      <w:r w:rsidR="00DA6EB4">
        <w:t>,</w:t>
      </w:r>
      <w:r>
        <w:t xml:space="preserve"> </w:t>
      </w:r>
      <w:r w:rsidR="0044743B">
        <w:t xml:space="preserve">including </w:t>
      </w:r>
      <w:r w:rsidR="00751154">
        <w:t>trauma sensitive yoga,</w:t>
      </w:r>
      <w:r w:rsidR="00135818">
        <w:t xml:space="preserve"> ketamine, cannabinoids, </w:t>
      </w:r>
      <w:r w:rsidR="006F053C">
        <w:t xml:space="preserve">other electrotherapies, </w:t>
      </w:r>
      <w:r>
        <w:t xml:space="preserve">transcranial magnetic stimulation, </w:t>
      </w:r>
      <w:r w:rsidR="006F053C">
        <w:t xml:space="preserve">probiotic diet, exercise, </w:t>
      </w:r>
      <w:r w:rsidR="00B22C4B">
        <w:t xml:space="preserve">virtual reality exposure therapy, </w:t>
      </w:r>
      <w:r w:rsidR="00390FBD">
        <w:t xml:space="preserve">omega-3 supplements, vitamin E supplements, </w:t>
      </w:r>
      <w:r w:rsidR="006F053C">
        <w:t xml:space="preserve">and therapy animals. </w:t>
      </w:r>
      <w:r w:rsidR="00142300">
        <w:t xml:space="preserve">This summary </w:t>
      </w:r>
      <w:r w:rsidR="00A40E7B">
        <w:t>i</w:t>
      </w:r>
      <w:r w:rsidR="00DE01AC">
        <w:t>s then used</w:t>
      </w:r>
      <w:r w:rsidR="00142300">
        <w:t xml:space="preserve"> </w:t>
      </w:r>
      <w:r w:rsidR="00DE01AC">
        <w:t xml:space="preserve">to identify </w:t>
      </w:r>
      <w:r w:rsidR="00142300">
        <w:t xml:space="preserve">possible synergy among individual treatments by searching for common </w:t>
      </w:r>
      <w:r w:rsidR="004E1B19">
        <w:t>mechanistic</w:t>
      </w:r>
      <w:r w:rsidR="00142300">
        <w:t xml:space="preserve"> targets of multiple treatment options</w:t>
      </w:r>
      <w:r w:rsidR="00DE6A3E">
        <w:t xml:space="preserve"> (as the basis for multiplicative rather than merely additive benefits)</w:t>
      </w:r>
      <w:r w:rsidR="00142300">
        <w:t xml:space="preserve">. The </w:t>
      </w:r>
      <w:r w:rsidR="000144B2" w:rsidRPr="00D27D3A">
        <w:t xml:space="preserve">alarmingly high prevalence of PTSD </w:t>
      </w:r>
      <w:r w:rsidR="000144B2">
        <w:t>with</w:t>
      </w:r>
      <w:r w:rsidR="000144B2" w:rsidRPr="00D27D3A">
        <w:t xml:space="preserve">in the veteran population and the </w:t>
      </w:r>
      <w:r w:rsidR="00142300">
        <w:t>severe</w:t>
      </w:r>
      <w:r w:rsidR="000144B2" w:rsidRPr="00D27D3A">
        <w:t>, manifold effects of th</w:t>
      </w:r>
      <w:r w:rsidR="00142300">
        <w:t>e</w:t>
      </w:r>
      <w:r w:rsidR="000144B2" w:rsidRPr="00D27D3A">
        <w:t xml:space="preserve"> condition</w:t>
      </w:r>
      <w:r w:rsidR="00142300">
        <w:t xml:space="preserve"> creates a need</w:t>
      </w:r>
      <w:r w:rsidR="000144B2" w:rsidRPr="00D27D3A">
        <w:t xml:space="preserve"> for the scientific and medical community to develop </w:t>
      </w:r>
      <w:r w:rsidR="000144B2">
        <w:t xml:space="preserve">a </w:t>
      </w:r>
      <w:r w:rsidR="000144B2" w:rsidRPr="00D27D3A">
        <w:t>comprehensive, empirically tested intervention</w:t>
      </w:r>
      <w:r w:rsidR="000144B2">
        <w:t xml:space="preserve"> to treat PTSD. </w:t>
      </w:r>
      <w:r w:rsidR="00F53256">
        <w:t>Since e</w:t>
      </w:r>
      <w:r w:rsidR="00142300">
        <w:t>xisting</w:t>
      </w:r>
      <w:r>
        <w:t xml:space="preserve"> literature reviews</w:t>
      </w:r>
      <w:r w:rsidR="007E6835">
        <w:t xml:space="preserve"> typically</w:t>
      </w:r>
      <w:r>
        <w:t xml:space="preserve"> </w:t>
      </w:r>
      <w:r w:rsidR="00142300">
        <w:t>focus</w:t>
      </w:r>
      <w:r w:rsidR="00782AD2">
        <w:t xml:space="preserve"> narrowly</w:t>
      </w:r>
      <w:r>
        <w:t xml:space="preserve"> on pharmacological methods</w:t>
      </w:r>
      <w:r w:rsidR="00142300">
        <w:t xml:space="preserve">, </w:t>
      </w:r>
      <w:r w:rsidR="007E6835">
        <w:t>this thesis</w:t>
      </w:r>
      <w:r w:rsidR="00142300">
        <w:t xml:space="preserve"> </w:t>
      </w:r>
      <w:r w:rsidR="00933AFA">
        <w:t>comprehensively</w:t>
      </w:r>
      <w:r w:rsidR="00142300">
        <w:t xml:space="preserve"> review</w:t>
      </w:r>
      <w:r w:rsidR="00933AFA">
        <w:t>s</w:t>
      </w:r>
      <w:r w:rsidR="00142300">
        <w:t xml:space="preserve"> </w:t>
      </w:r>
      <w:r w:rsidR="00933AFA">
        <w:t xml:space="preserve">multiple </w:t>
      </w:r>
      <w:r w:rsidR="00142300">
        <w:t>promising</w:t>
      </w:r>
      <w:r>
        <w:t xml:space="preserve"> treatment options </w:t>
      </w:r>
      <w:r w:rsidR="00142300">
        <w:t>for</w:t>
      </w:r>
      <w:r>
        <w:t xml:space="preserve"> PTSD </w:t>
      </w:r>
      <w:r w:rsidR="00142300">
        <w:t>beyond what is currently FDA approved</w:t>
      </w:r>
      <w:r>
        <w:t xml:space="preserve">. </w:t>
      </w:r>
      <w:r w:rsidR="00142300">
        <w:t xml:space="preserve">The </w:t>
      </w:r>
      <w:r w:rsidR="008F2654">
        <w:t>background section</w:t>
      </w:r>
      <w:r w:rsidR="00142300">
        <w:t xml:space="preserve"> </w:t>
      </w:r>
      <w:r w:rsidR="008B069D">
        <w:t>summarizes</w:t>
      </w:r>
      <w:r w:rsidR="00142300">
        <w:t xml:space="preserve"> </w:t>
      </w:r>
      <w:r>
        <w:t xml:space="preserve">standard pharmacological </w:t>
      </w:r>
      <w:r w:rsidR="003D3B93">
        <w:t>antidepressants used</w:t>
      </w:r>
      <w:r>
        <w:t xml:space="preserve"> to treat</w:t>
      </w:r>
      <w:r w:rsidR="003D3B93">
        <w:t xml:space="preserve"> PTSD, such as </w:t>
      </w:r>
      <w:r w:rsidR="007E1701">
        <w:t>paroxetine</w:t>
      </w:r>
      <w:r w:rsidR="003D3B93">
        <w:t xml:space="preserve">. </w:t>
      </w:r>
    </w:p>
    <w:p w14:paraId="1378F9E5" w14:textId="1A5052FC" w:rsidR="009D2966" w:rsidRDefault="009D2966" w:rsidP="007A1D40">
      <w:pPr>
        <w:autoSpaceDE w:val="0"/>
        <w:autoSpaceDN w:val="0"/>
        <w:adjustRightInd w:val="0"/>
        <w:spacing w:line="480" w:lineRule="auto"/>
      </w:pPr>
    </w:p>
    <w:p w14:paraId="168C4752" w14:textId="71283292" w:rsidR="00096C14" w:rsidRDefault="00096C14" w:rsidP="007A1D40">
      <w:pPr>
        <w:autoSpaceDE w:val="0"/>
        <w:autoSpaceDN w:val="0"/>
        <w:adjustRightInd w:val="0"/>
        <w:spacing w:line="480" w:lineRule="auto"/>
      </w:pPr>
      <w:r>
        <w:t xml:space="preserve">The literature synthesis </w:t>
      </w:r>
      <w:r w:rsidR="001063B2">
        <w:t>addresses the following research questions:</w:t>
      </w:r>
    </w:p>
    <w:p w14:paraId="2E28F2D1" w14:textId="1577EBDC" w:rsidR="001063B2" w:rsidRDefault="00AE6BF3" w:rsidP="001063B2">
      <w:pPr>
        <w:pStyle w:val="ListParagraph"/>
        <w:numPr>
          <w:ilvl w:val="0"/>
          <w:numId w:val="5"/>
        </w:numPr>
        <w:autoSpaceDE w:val="0"/>
        <w:autoSpaceDN w:val="0"/>
        <w:adjustRightInd w:val="0"/>
        <w:spacing w:line="480" w:lineRule="auto"/>
        <w:rPr>
          <w:rFonts w:ascii="Times New Roman" w:hAnsi="Times New Roman"/>
        </w:rPr>
      </w:pPr>
      <w:r>
        <w:rPr>
          <w:rFonts w:ascii="Times New Roman" w:hAnsi="Times New Roman"/>
        </w:rPr>
        <w:t xml:space="preserve">Are </w:t>
      </w:r>
      <w:r w:rsidR="00BD1832">
        <w:rPr>
          <w:rFonts w:ascii="Times New Roman" w:hAnsi="Times New Roman"/>
        </w:rPr>
        <w:t xml:space="preserve">there existing common mechanistic denominators that can be identified for some or all </w:t>
      </w:r>
      <w:r w:rsidR="00376A1F">
        <w:rPr>
          <w:rFonts w:ascii="Times New Roman" w:hAnsi="Times New Roman"/>
        </w:rPr>
        <w:t>emerging therapies for PTSD?</w:t>
      </w:r>
    </w:p>
    <w:p w14:paraId="5F41E51F" w14:textId="7BF446AB" w:rsidR="00376A1F" w:rsidRDefault="00D32E30" w:rsidP="001063B2">
      <w:pPr>
        <w:pStyle w:val="ListParagraph"/>
        <w:numPr>
          <w:ilvl w:val="0"/>
          <w:numId w:val="5"/>
        </w:numPr>
        <w:autoSpaceDE w:val="0"/>
        <w:autoSpaceDN w:val="0"/>
        <w:adjustRightInd w:val="0"/>
        <w:spacing w:line="480" w:lineRule="auto"/>
        <w:rPr>
          <w:rFonts w:ascii="Times New Roman" w:hAnsi="Times New Roman"/>
        </w:rPr>
      </w:pPr>
      <w:r>
        <w:rPr>
          <w:rFonts w:ascii="Times New Roman" w:hAnsi="Times New Roman"/>
        </w:rPr>
        <w:lastRenderedPageBreak/>
        <w:t>May</w:t>
      </w:r>
      <w:r w:rsidR="00F86D29">
        <w:rPr>
          <w:rFonts w:ascii="Times New Roman" w:hAnsi="Times New Roman"/>
        </w:rPr>
        <w:t xml:space="preserve"> chronic inflammation be </w:t>
      </w:r>
      <w:r w:rsidR="00EC3B5F">
        <w:rPr>
          <w:rFonts w:ascii="Times New Roman" w:hAnsi="Times New Roman"/>
        </w:rPr>
        <w:t xml:space="preserve">such a common denominator </w:t>
      </w:r>
      <w:r w:rsidR="005842F5">
        <w:rPr>
          <w:rFonts w:ascii="Times New Roman" w:hAnsi="Times New Roman"/>
        </w:rPr>
        <w:t xml:space="preserve">and be a point of emphasis for various </w:t>
      </w:r>
      <w:r w:rsidR="00567025">
        <w:rPr>
          <w:rFonts w:ascii="Times New Roman" w:hAnsi="Times New Roman"/>
        </w:rPr>
        <w:t>PTSD therapies?</w:t>
      </w:r>
    </w:p>
    <w:p w14:paraId="6FBED789" w14:textId="4452E194" w:rsidR="00567025" w:rsidRDefault="00567025" w:rsidP="001063B2">
      <w:pPr>
        <w:pStyle w:val="ListParagraph"/>
        <w:numPr>
          <w:ilvl w:val="0"/>
          <w:numId w:val="5"/>
        </w:numPr>
        <w:autoSpaceDE w:val="0"/>
        <w:autoSpaceDN w:val="0"/>
        <w:adjustRightInd w:val="0"/>
        <w:spacing w:line="480" w:lineRule="auto"/>
        <w:rPr>
          <w:rFonts w:ascii="Times New Roman" w:hAnsi="Times New Roman"/>
        </w:rPr>
      </w:pPr>
      <w:r>
        <w:rPr>
          <w:rFonts w:ascii="Times New Roman" w:hAnsi="Times New Roman"/>
        </w:rPr>
        <w:t>Does available evidence support formulati</w:t>
      </w:r>
      <w:r w:rsidR="00562F65">
        <w:rPr>
          <w:rFonts w:ascii="Times New Roman" w:hAnsi="Times New Roman"/>
        </w:rPr>
        <w:t>ng</w:t>
      </w:r>
      <w:r>
        <w:rPr>
          <w:rFonts w:ascii="Times New Roman" w:hAnsi="Times New Roman"/>
        </w:rPr>
        <w:t xml:space="preserve"> a novel combination therapy </w:t>
      </w:r>
      <w:r w:rsidR="00C27197">
        <w:rPr>
          <w:rFonts w:ascii="Times New Roman" w:hAnsi="Times New Roman"/>
        </w:rPr>
        <w:t>to treat</w:t>
      </w:r>
      <w:r>
        <w:rPr>
          <w:rFonts w:ascii="Times New Roman" w:hAnsi="Times New Roman"/>
        </w:rPr>
        <w:t xml:space="preserve"> PTSD </w:t>
      </w:r>
      <w:r w:rsidR="00C27197">
        <w:rPr>
          <w:rFonts w:ascii="Times New Roman" w:hAnsi="Times New Roman"/>
        </w:rPr>
        <w:t>using components</w:t>
      </w:r>
      <w:r w:rsidR="00BB4DA0">
        <w:rPr>
          <w:rFonts w:ascii="Times New Roman" w:hAnsi="Times New Roman"/>
        </w:rPr>
        <w:t xml:space="preserve"> that act in synergy and may thus potentiate benefits</w:t>
      </w:r>
      <w:r w:rsidR="00C27197">
        <w:rPr>
          <w:rFonts w:ascii="Times New Roman" w:hAnsi="Times New Roman"/>
        </w:rPr>
        <w:t>?</w:t>
      </w:r>
    </w:p>
    <w:p w14:paraId="3AA4C4C1" w14:textId="1E0D0822" w:rsidR="002147FF" w:rsidRPr="001063B2" w:rsidRDefault="001A7EBD" w:rsidP="001063B2">
      <w:pPr>
        <w:pStyle w:val="ListParagraph"/>
        <w:numPr>
          <w:ilvl w:val="0"/>
          <w:numId w:val="5"/>
        </w:numPr>
        <w:autoSpaceDE w:val="0"/>
        <w:autoSpaceDN w:val="0"/>
        <w:adjustRightInd w:val="0"/>
        <w:spacing w:line="480" w:lineRule="auto"/>
        <w:rPr>
          <w:rFonts w:ascii="Times New Roman" w:hAnsi="Times New Roman"/>
        </w:rPr>
      </w:pPr>
      <w:r>
        <w:rPr>
          <w:rFonts w:ascii="Times New Roman" w:hAnsi="Times New Roman"/>
        </w:rPr>
        <w:t>Refer to Fig. 7 below for a visual representation of this hypothesis.</w:t>
      </w:r>
    </w:p>
    <w:p w14:paraId="2D4D59F8" w14:textId="77777777" w:rsidR="00EA7BDB" w:rsidRDefault="00EA7BDB" w:rsidP="007A1D40">
      <w:pPr>
        <w:autoSpaceDE w:val="0"/>
        <w:autoSpaceDN w:val="0"/>
        <w:adjustRightInd w:val="0"/>
        <w:spacing w:line="480" w:lineRule="auto"/>
      </w:pPr>
    </w:p>
    <w:p w14:paraId="274CADC0" w14:textId="3CB0EAFD" w:rsidR="00C17EDC" w:rsidRDefault="00C17EDC" w:rsidP="009F193C">
      <w:pPr>
        <w:pStyle w:val="ListParagraph"/>
        <w:numPr>
          <w:ilvl w:val="0"/>
          <w:numId w:val="4"/>
        </w:numPr>
        <w:autoSpaceDE w:val="0"/>
        <w:autoSpaceDN w:val="0"/>
        <w:adjustRightInd w:val="0"/>
        <w:spacing w:line="480" w:lineRule="auto"/>
        <w:rPr>
          <w:rFonts w:ascii="Times New Roman" w:hAnsi="Times New Roman"/>
          <w:b/>
          <w:bCs/>
        </w:rPr>
      </w:pPr>
      <w:r w:rsidRPr="001210F8">
        <w:rPr>
          <w:rFonts w:ascii="Times New Roman" w:hAnsi="Times New Roman"/>
          <w:b/>
          <w:bCs/>
        </w:rPr>
        <w:t>Background</w:t>
      </w:r>
    </w:p>
    <w:p w14:paraId="6A33C49F" w14:textId="77777777" w:rsidR="009F193C" w:rsidRPr="009F193C" w:rsidRDefault="009F193C" w:rsidP="009F193C">
      <w:pPr>
        <w:autoSpaceDE w:val="0"/>
        <w:autoSpaceDN w:val="0"/>
        <w:adjustRightInd w:val="0"/>
        <w:spacing w:line="480" w:lineRule="auto"/>
        <w:rPr>
          <w:b/>
          <w:bCs/>
        </w:rPr>
      </w:pPr>
    </w:p>
    <w:p w14:paraId="595472A1" w14:textId="351787D4" w:rsidR="00910728" w:rsidRDefault="00BE3410" w:rsidP="007A1D40">
      <w:pPr>
        <w:spacing w:line="480" w:lineRule="auto"/>
        <w:rPr>
          <w:color w:val="000000"/>
          <w:shd w:val="clear" w:color="auto" w:fill="FFFFFF"/>
        </w:rPr>
      </w:pPr>
      <w:r>
        <w:t>Exposure to traumatic events</w:t>
      </w:r>
      <w:r w:rsidR="005E5932">
        <w:t>, including violence,</w:t>
      </w:r>
      <w:r>
        <w:t xml:space="preserve"> has </w:t>
      </w:r>
      <w:r w:rsidR="005E5932">
        <w:t xml:space="preserve">presumably </w:t>
      </w:r>
      <w:r>
        <w:t>always been a part of the human condition.</w:t>
      </w:r>
      <w:r w:rsidR="00B05DA4">
        <w:t xml:space="preserve"> </w:t>
      </w:r>
      <w:r w:rsidR="00287011">
        <w:t xml:space="preserve">In </w:t>
      </w:r>
      <w:r w:rsidR="005E5932">
        <w:t>the U.S.</w:t>
      </w:r>
      <w:r w:rsidR="00287011">
        <w:t xml:space="preserve"> alone, </w:t>
      </w:r>
      <w:r w:rsidR="00927262">
        <w:t xml:space="preserve">there are 21 million </w:t>
      </w:r>
      <w:r w:rsidR="00343409">
        <w:t xml:space="preserve">military veterans </w:t>
      </w:r>
      <w:r w:rsidR="00DF39EF">
        <w:t>living amongst the civilian population</w:t>
      </w:r>
      <w:r w:rsidR="009446D2">
        <w:t xml:space="preserve"> (Veteran Affairs, 2015a)</w:t>
      </w:r>
      <w:r w:rsidR="005E5932">
        <w:t xml:space="preserve"> with</w:t>
      </w:r>
      <w:r w:rsidR="006C5927">
        <w:t xml:space="preserve"> 413,000 veterans </w:t>
      </w:r>
      <w:r w:rsidR="005E5932">
        <w:t xml:space="preserve">in Colorado alone (Veteran Affairs, 2015b). </w:t>
      </w:r>
      <w:r w:rsidR="00B779F2">
        <w:t xml:space="preserve">Unfortunately, the battle is not over for many of these veterans because a staggering number of </w:t>
      </w:r>
      <w:r w:rsidR="005E5932">
        <w:t xml:space="preserve">them </w:t>
      </w:r>
      <w:r w:rsidR="00B779F2">
        <w:t xml:space="preserve">are combating PTSD. </w:t>
      </w:r>
      <w:r w:rsidR="00382E07">
        <w:t xml:space="preserve">The American Psychiatric Association (APA) </w:t>
      </w:r>
      <w:r w:rsidR="00F37B6C">
        <w:t>states that PTSD is one of the most common trauma-induced mental illnesses</w:t>
      </w:r>
      <w:r w:rsidR="005E5932">
        <w:t xml:space="preserve">, </w:t>
      </w:r>
      <w:r w:rsidR="00F37B6C">
        <w:t xml:space="preserve">affecting </w:t>
      </w:r>
      <w:r w:rsidR="00396B4E">
        <w:t xml:space="preserve">20% of military veterans in the </w:t>
      </w:r>
      <w:r w:rsidR="005E5932">
        <w:t>U.S.</w:t>
      </w:r>
      <w:r w:rsidR="005014AB">
        <w:t xml:space="preserve"> </w:t>
      </w:r>
      <w:r w:rsidR="001C2F37">
        <w:fldChar w:fldCharType="begin"/>
      </w:r>
      <w:r w:rsidR="00D27D3A">
        <w:instrText xml:space="preserve"> ADDIN ZOTERO_ITEM CSL_CITATION {"citationID":"K1skaF4G","properties":{"formattedCitation":"(Krause-Parello et al. 2020)","plainCitation":"(Krause-Parello et al. 2020)","noteIndex":0},"citationItems":[{"id":422,"uris":["http://zotero.org/users/local/wdQKiz3s/items/8M5Y2VHB"],"uri":["http://zotero.org/users/local/wdQKiz3s/items/8M5Y2VHB"],"itemData":{"id":422,"type":"article-journal","abstract":"When military veterans return from service many are in a state of reintegration from military to civilian life, a transition that can be difficult and stressful. Recent literature supports the use of human–animal interactions to reduce stress. To date there have been few studies that examine the health effects of interacting with dogs specifically in the veteran population. This project evaluated the effect of walking with a shelter dog on psychological and physiological stress indicators in veterans. A randomized repeated measures crossover study was employed. Veterans (n = 33) consented to participate in experimental (dog-walk: four weekly 30-min. sessions) and comparison (human-walk: four weekly 30-min. sessions) conditions. The setting was two animal shelters. Posttraumatic stress disorder (PTSD) symptoms, perceived stress, and salivary cortisol, alpha-amylase (AA), and heart rate variability (HRV) were assessed. Linear mixed models with random intercepts and repeated measurements nested within participants were used for separate analyses of each outcome. The results indicate responses to walking with a dog and a human from week 1 to week 4 were different depending on PTSD symptoms. Walking with a dog or another person led to decreases in cortisol among those with low PTSD symptom severity (p = 0.057 and p = 0.026, respectively). For individuals with high PTSD symptoms, walking with a dog did not significantly change levels of AA, but walking with a person did (p = 0.953 and p &lt; 0.001, respectively). For individuals with lower PTSD symptom, AA did not change significantly (p &gt; 0.05) for either type of walk. HRV data revealed a significant interaction (F(2, 458.74) = 3.505, p = 0.031] between the week number of the walk and dog presence. Average HRV increased for individuals with higher PTSD symptoms from week 1 to week 4 but decreased when they walked with a human. This study provides evidence that walking with a shelter dog affects psychological and physiological stress indicators in veterans. Additional measures and extended monitoring require creative strategies to engage participants after the intervention (e.g., walks) to facilitate assessment of peak responses. Future studies with a larger sample size in multiple shelters should be conducted to validate and extend the current results.","container-title":"Anthrozoös","DOI":"10.1080/08927936.2020.1719763","ISSN":"0892-7936","issue":"2","note":"publisher: Routledge\n_eprint: https://doi.org/10.1080/08927936.2020.1719763","page":"225-241","source":"Taylor and Francis+NEJM","title":"Veterans and Shelter Dogs: Examining the Impact of a Dog-Walking Intervention on Physiological and Post-Traumatic Stress Symptoms","title-short":"Veterans and Shelter Dogs","volume":"33","author":[{"family":"Krause-Parello","given":"Cheryl A."},{"family":"Friedmann","given":"Erika"},{"family":"Blanchard","given":"Kelly"},{"family":"Payton","given":"Megan"},{"family":"Gee","given":"Nancy R."}],"issued":{"date-parts":[["2020",3,3]]}}}],"schema":"https://github.com/citation-style-language/schema/raw/master/csl-citation.json"} </w:instrText>
      </w:r>
      <w:r w:rsidR="001C2F37">
        <w:fldChar w:fldCharType="separate"/>
      </w:r>
      <w:r w:rsidR="00D27D3A">
        <w:rPr>
          <w:noProof/>
        </w:rPr>
        <w:t>(Krause-Parello et al. 2020)</w:t>
      </w:r>
      <w:r w:rsidR="001C2F37">
        <w:fldChar w:fldCharType="end"/>
      </w:r>
      <w:r w:rsidR="00D27D3A">
        <w:t xml:space="preserve">. </w:t>
      </w:r>
      <w:r w:rsidR="005E5932">
        <w:t>N</w:t>
      </w:r>
      <w:r w:rsidR="00955600">
        <w:t>eurobiol</w:t>
      </w:r>
      <w:r w:rsidR="00CC244B">
        <w:t xml:space="preserve">ogical </w:t>
      </w:r>
      <w:r w:rsidR="003D73FE">
        <w:t xml:space="preserve">effects </w:t>
      </w:r>
      <w:r w:rsidR="005E5932">
        <w:t>of</w:t>
      </w:r>
      <w:r w:rsidR="00CC244B">
        <w:t xml:space="preserve"> PTSD </w:t>
      </w:r>
      <w:r w:rsidR="005E5932">
        <w:t xml:space="preserve">include </w:t>
      </w:r>
      <w:r w:rsidR="008E1A1B">
        <w:t>d</w:t>
      </w:r>
      <w:r w:rsidR="008E1A1B" w:rsidRPr="008E1A1B">
        <w:t>ysregulation of the</w:t>
      </w:r>
      <w:r w:rsidR="008E1A1B">
        <w:t xml:space="preserve"> </w:t>
      </w:r>
      <w:r w:rsidR="008E1A1B" w:rsidRPr="008E1A1B">
        <w:t>hypothalamic pituitary adrenal axis (HPA</w:t>
      </w:r>
      <w:r w:rsidR="002C4A94">
        <w:t>; Fig. 1</w:t>
      </w:r>
      <w:r w:rsidR="008E1A1B" w:rsidRPr="008E1A1B">
        <w:t>)</w:t>
      </w:r>
      <w:r w:rsidR="005E5932">
        <w:t xml:space="preserve">, as </w:t>
      </w:r>
      <w:r w:rsidR="00D163A9">
        <w:t xml:space="preserve">was also </w:t>
      </w:r>
      <w:r w:rsidR="005E5932">
        <w:t xml:space="preserve">shown for survivors </w:t>
      </w:r>
      <w:r w:rsidR="00B925BD">
        <w:t xml:space="preserve">of the meltdown of the Chernobyl nuclear power plant </w:t>
      </w:r>
      <w:r w:rsidR="002C4A94">
        <w:t>who</w:t>
      </w:r>
      <w:r w:rsidR="00B925BD">
        <w:t xml:space="preserve"> exhibited</w:t>
      </w:r>
      <w:r w:rsidR="008E1A1B">
        <w:t xml:space="preserve"> abnorma</w:t>
      </w:r>
      <w:r w:rsidR="001D5318">
        <w:t xml:space="preserve">lities in hormone concentrations </w:t>
      </w:r>
      <w:r w:rsidR="008418BE">
        <w:fldChar w:fldCharType="begin"/>
      </w:r>
      <w:r w:rsidR="008418BE">
        <w:instrText xml:space="preserve"> ADDIN ZOTERO_ITEM CSL_CITATION {"citationID":"jg7oBK8y","properties":{"formattedCitation":"(Tseylikman et al. 2017)","plainCitation":"(Tseylikman et al. 2017)","noteIndex":0},"citationItems":[{"id":425,"uris":["http://zotero.org/users/local/wdQKiz3s/items/N6W49AXG"],"uri":["http://zotero.org/users/local/wdQKiz3s/items/N6W49AXG"],"itemData":{"id":425,"type":"article-journal","container-title":"Psychoneuroendocrinology","DOI":"10.1016/j.psyneuen.2017.07.344","ISSN":"0306-4530","journalAbbreviation":"Psychoneuroendocrinology","language":"en","page":"39","source":"ScienceDirect","title":"PTSD-related shifts in HPA axis, DHEA levels in chernobyl nuclear plunt clean-up workers","volume":"83","author":[{"family":"Tseylikman","given":"Vadim E."},{"family":"Davydovich","given":"Michael G."},{"family":"Tseilikman","given":"Olga B."},{"family":"Feklicheva","given":"Inna V."},{"family":"Shankova","given":"Natalia A."},{"family":"Boyarinova","given":"Natalia V."}],"issued":{"date-parts":[["2017",9,1]]}}}],"schema":"https://github.com/citation-style-language/schema/raw/master/csl-citation.json"} </w:instrText>
      </w:r>
      <w:r w:rsidR="008418BE">
        <w:fldChar w:fldCharType="separate"/>
      </w:r>
      <w:r w:rsidR="008418BE">
        <w:rPr>
          <w:noProof/>
        </w:rPr>
        <w:t>(Tseylikman et al. 2017)</w:t>
      </w:r>
      <w:r w:rsidR="008418BE">
        <w:fldChar w:fldCharType="end"/>
      </w:r>
      <w:r w:rsidR="008418BE">
        <w:t>.</w:t>
      </w:r>
      <w:r w:rsidR="00AF6716">
        <w:t xml:space="preserve"> </w:t>
      </w:r>
      <w:r w:rsidR="00B925BD">
        <w:t>One hormone</w:t>
      </w:r>
      <w:r w:rsidR="00D163A9">
        <w:t xml:space="preserve"> that has received particular</w:t>
      </w:r>
      <w:r w:rsidR="00B925BD">
        <w:t xml:space="preserve"> </w:t>
      </w:r>
      <w:r w:rsidR="00716F2A">
        <w:t>attention</w:t>
      </w:r>
      <w:r w:rsidR="00B925BD">
        <w:t xml:space="preserve"> in PTSD</w:t>
      </w:r>
      <w:r w:rsidR="00716F2A">
        <w:t xml:space="preserve"> research</w:t>
      </w:r>
      <w:r w:rsidR="00B925BD">
        <w:t xml:space="preserve"> is </w:t>
      </w:r>
      <w:r w:rsidR="00EA1355">
        <w:t>corticotrophin</w:t>
      </w:r>
      <w:r w:rsidR="00B925BD">
        <w:t>-</w:t>
      </w:r>
      <w:r w:rsidR="00716F2A">
        <w:t>r</w:t>
      </w:r>
      <w:r w:rsidR="00EA1355">
        <w:t xml:space="preserve">eleasing hormone </w:t>
      </w:r>
      <w:r w:rsidR="00C06FE9" w:rsidRPr="00213D32">
        <w:t>(CRH</w:t>
      </w:r>
      <w:r w:rsidR="009C2790">
        <w:t>;</w:t>
      </w:r>
      <w:r w:rsidR="00995539">
        <w:t xml:space="preserve"> </w:t>
      </w:r>
      <w:r w:rsidR="000443BA">
        <w:fldChar w:fldCharType="begin"/>
      </w:r>
      <w:r w:rsidR="008E70CA">
        <w:instrText xml:space="preserve"> ADDIN ZOTERO_ITEM CSL_CITATION {"citationID":"Cj7DbFDf","properties":{"formattedCitation":"(Herman et al. 2016; Dunlop and Wong 2019)","plainCitation":"(Herman et al. 2016; Dunlop and Wong 2019)","noteIndex":0},"citationItems":[{"id":430,"uris":["http://zotero.org/users/local/wdQKiz3s/items/3RQP9DL7"],"uri":["http://zotero.org/users/local/wdQKiz3s/items/3RQP9DL7"],"itemData":{"id":430,"type":"chapter","abstract":"The hypothalamo-pituitary-adrenocortical (HPA) axis is required for stress adaptation. Activation of the HPA axis causes secretion of glucocorticoids, which act on multiple organ systems to redirect energy resources to meet real or anticipated demand. The HPA stress response is driven primarily by neural mechanisms, invoking corticotrophin releasing hormone (CRH) release from hypothalamic paraventricular nucleus (PVN) neurons. Pathways activating CRH release are stressor dependent: reactive responses to homeostatic disruption frequently involve direct noradrenergic or peptidergic drive of PVN neurons by sensory relays, whereas anticipatory responses use oligosynaptic pathways originating in upstream limbic structures. Anticipatory responses are driven largely by disinhibition, mediated by trans-synaptic silencing of tonic PVN inhibition via GABAergic neurons in the amygdala. Stress responses are inhibited by negative feedback mechanisms, whereby glucocorticoids act to diminish drive (brainstem) and promote transsynaptic inhibition by limbic structures (e.g., hippocampus). Glucocorticoids also act at the PVN to rapidly inhibit CRH neuronal activity via membrane glucocorticoid receptors. Chronic stress-induced activation of the HPA axis takes many forms (chronic basal hypersecretion, sensitized stress responses, and even adrenal exhaustion), with manifestation dependent upon factors such as stressor chronicity, intensity, frequency, and modality. Neural mechanisms driving chronic stress responses can be distinct from those controlling acute reactions, including recruitment of novel limbic, hypothalamic, and brainstem circuits. Importantly, an individual's response to acute or chronic stress is determined by numerous factors, including genetics, early life experience, environmental conditions, sex, and age. The context in which stressors occur will determine whether an individual's acute or chronic stress responses are adaptive or maladaptive (pathological). © 2016 American Physiological Society. Compr Physiol 6:603-621, 2016.","container-title":"Comprehensive Physiology","ISBN":"978-0-470-65071-4","language":"en","note":"_eprint: https://onlinelibrary.wiley.com/doi/pdf/10.1002/cphy.c150015\nDOI: 10.1002/cphy.c150015","page":"603-621","publisher":"American Cancer Society","source":"Wiley Online Library","title":"Regulation of the Hypothalamic-Pituitary-Adrenocortical Stress Response","URL":"https://onlinelibrary.wiley.com/doi/abs/10.1002/cphy.c150015","author":[{"family":"Herman","given":"James P."},{"family":"McKlveen","given":"Jessica M."},{"family":"Ghosal","given":"Sriparna"},{"family":"Kopp","given":"Brittany"},{"family":"Wulsin","given":"Aynara"},{"family":"Makinson","given":"Ryan"},{"family":"Scheimann","given":"Jessie"},{"family":"Myers","given":"Brent"}],"accessed":{"date-parts":[["2020",11,4]]},"issued":{"date-parts":[["2016"]]}}},{"id":428,"uris":["http://zotero.org/users/local/wdQKiz3s/items/3F5UTU9U"],"uri":["http://zotero.org/users/local/wdQKiz3s/items/3F5UTU9U"],"itemData":{"id":428,"type":"article-journal","abstract":"Questions of how altered functioning of the hypothalamic pituitary adrenal (HPA) axis contribute to the development and maintenance of posttraumatic stress disorder (PTSD) have been the focus of extensive animal and human research. As a rule, results have been inconsistent across studies, likely due to a variety of confounding variables that have received inadequate attention. Important confounding factors include the effects of early life stress, biological sex, and the glucocorticoid used for interventions. In this manuscript we review: 1) the literature on identified abnormalities of HPA axis function in PTSD, both in terms of basal functioning and as part of challenge paradigms; 2) the role of HPA axis function pre- and immediately post-trauma as a risk factor for PTSD development; 3) the impact of HPA axis genes' allelic variants and epigenetic modifications on PTSD risk; 4) the contributions of HPA axis components to fear learning and extinction; and 5) therapeutic manipulations of the HPA axis to both prevent and treat PTSD, including the role of glucocorticoids as part of medication enhanced psychotherapy.","container-title":"Progress in Neuro-Psychopharmacology and Biological Psychiatry","DOI":"10.1016/j.pnpbp.2018.10.010","ISSN":"0278-5846","journalAbbreviation":"Progress in Neuro-Psychopharmacology and Biological Psychiatry","language":"en","page":"361-379","source":"ScienceDirect","title":"The hypothalamic-pituitary-adrenal axis in PTSD: Pathophysiology and treatment interventions","title-short":"The hypothalamic-pituitary-adrenal axis in PTSD","volume":"89","author":[{"family":"Dunlop","given":"Boadie W."},{"family":"Wong","given":"Andrea"}],"issued":{"date-parts":[["2019",3,8]]}}}],"schema":"https://github.com/citation-style-language/schema/raw/master/csl-citation.json"} </w:instrText>
      </w:r>
      <w:r w:rsidR="000443BA">
        <w:fldChar w:fldCharType="separate"/>
      </w:r>
      <w:r w:rsidR="008E70CA">
        <w:rPr>
          <w:noProof/>
        </w:rPr>
        <w:t>Herman et al. 2016; Dunlop and Wong 2019</w:t>
      </w:r>
      <w:r w:rsidR="000D533B">
        <w:rPr>
          <w:noProof/>
        </w:rPr>
        <w:t>; Fig. 1</w:t>
      </w:r>
      <w:r w:rsidR="008E70CA">
        <w:rPr>
          <w:noProof/>
        </w:rPr>
        <w:t>)</w:t>
      </w:r>
      <w:r w:rsidR="000443BA">
        <w:fldChar w:fldCharType="end"/>
      </w:r>
      <w:r w:rsidR="008E70CA">
        <w:t xml:space="preserve">. </w:t>
      </w:r>
      <w:r w:rsidR="009F193C">
        <w:rPr>
          <w:color w:val="000000"/>
          <w:shd w:val="clear" w:color="auto" w:fill="FFFFFF"/>
        </w:rPr>
        <w:t>Stress is commonly defined as a</w:t>
      </w:r>
      <w:r w:rsidR="00E118D7">
        <w:rPr>
          <w:color w:val="000000"/>
          <w:shd w:val="clear" w:color="auto" w:fill="FFFFFF"/>
        </w:rPr>
        <w:t>ny</w:t>
      </w:r>
      <w:r w:rsidR="009F193C">
        <w:rPr>
          <w:color w:val="000000"/>
          <w:shd w:val="clear" w:color="auto" w:fill="FFFFFF"/>
        </w:rPr>
        <w:t xml:space="preserve"> perceived </w:t>
      </w:r>
      <w:r w:rsidR="009C2790">
        <w:rPr>
          <w:color w:val="000000"/>
          <w:shd w:val="clear" w:color="auto" w:fill="FFFFFF"/>
        </w:rPr>
        <w:t>challenge</w:t>
      </w:r>
      <w:r w:rsidR="009F193C">
        <w:rPr>
          <w:color w:val="000000"/>
          <w:shd w:val="clear" w:color="auto" w:fill="FFFFFF"/>
        </w:rPr>
        <w:t xml:space="preserve"> to homeostasis</w:t>
      </w:r>
      <w:r w:rsidR="00310B13">
        <w:rPr>
          <w:color w:val="000000"/>
          <w:shd w:val="clear" w:color="auto" w:fill="FFFFFF"/>
        </w:rPr>
        <w:t xml:space="preserve"> and </w:t>
      </w:r>
      <w:r w:rsidR="00976A7B">
        <w:rPr>
          <w:color w:val="000000"/>
          <w:shd w:val="clear" w:color="auto" w:fill="FFFFFF"/>
        </w:rPr>
        <w:t xml:space="preserve">physiological </w:t>
      </w:r>
      <w:r w:rsidR="0005250C">
        <w:rPr>
          <w:color w:val="000000"/>
          <w:shd w:val="clear" w:color="auto" w:fill="FFFFFF"/>
        </w:rPr>
        <w:t xml:space="preserve">responses </w:t>
      </w:r>
      <w:r w:rsidR="00976A7B">
        <w:rPr>
          <w:color w:val="000000"/>
          <w:shd w:val="clear" w:color="auto" w:fill="FFFFFF"/>
        </w:rPr>
        <w:t>to such stressors</w:t>
      </w:r>
      <w:r w:rsidR="0005250C">
        <w:rPr>
          <w:color w:val="000000"/>
          <w:shd w:val="clear" w:color="auto" w:fill="FFFFFF"/>
        </w:rPr>
        <w:t xml:space="preserve"> </w:t>
      </w:r>
      <w:r w:rsidR="00976A7B">
        <w:rPr>
          <w:color w:val="000000"/>
          <w:shd w:val="clear" w:color="auto" w:fill="FFFFFF"/>
        </w:rPr>
        <w:t xml:space="preserve">involve the </w:t>
      </w:r>
      <w:r w:rsidR="0005250C">
        <w:rPr>
          <w:color w:val="000000"/>
          <w:shd w:val="clear" w:color="auto" w:fill="FFFFFF"/>
        </w:rPr>
        <w:t xml:space="preserve">endocrine, nervous, and immune systems, collectively </w:t>
      </w:r>
      <w:r w:rsidR="00976A7B">
        <w:rPr>
          <w:color w:val="000000"/>
          <w:shd w:val="clear" w:color="auto" w:fill="FFFFFF"/>
        </w:rPr>
        <w:t>labelled</w:t>
      </w:r>
      <w:r w:rsidR="0005250C">
        <w:rPr>
          <w:color w:val="000000"/>
          <w:shd w:val="clear" w:color="auto" w:fill="FFFFFF"/>
        </w:rPr>
        <w:t xml:space="preserve"> as the stress response</w:t>
      </w:r>
      <w:r w:rsidR="009C2790">
        <w:rPr>
          <w:color w:val="000000"/>
          <w:shd w:val="clear" w:color="auto" w:fill="FFFFFF"/>
        </w:rPr>
        <w:t xml:space="preserve"> (</w:t>
      </w:r>
      <w:r w:rsidR="005A5761">
        <w:rPr>
          <w:color w:val="000000"/>
          <w:shd w:val="clear" w:color="auto" w:fill="FFFFFF"/>
        </w:rPr>
        <w:t xml:space="preserve">Henry </w:t>
      </w:r>
      <w:r w:rsidR="00FA05CA">
        <w:rPr>
          <w:color w:val="000000"/>
          <w:shd w:val="clear" w:color="auto" w:fill="FFFFFF"/>
        </w:rPr>
        <w:t xml:space="preserve"> </w:t>
      </w:r>
      <w:r w:rsidR="00937120">
        <w:rPr>
          <w:color w:val="000000"/>
          <w:shd w:val="clear" w:color="auto" w:fill="FFFFFF"/>
        </w:rPr>
        <w:t>1991)</w:t>
      </w:r>
      <w:r w:rsidR="008345CA">
        <w:rPr>
          <w:color w:val="000000"/>
          <w:shd w:val="clear" w:color="auto" w:fill="FFFFFF"/>
        </w:rPr>
        <w:t xml:space="preserve">. Activation </w:t>
      </w:r>
      <w:r w:rsidR="00F1340F">
        <w:rPr>
          <w:color w:val="000000"/>
          <w:shd w:val="clear" w:color="auto" w:fill="FFFFFF"/>
        </w:rPr>
        <w:t xml:space="preserve">of the stress response initiates a number of </w:t>
      </w:r>
      <w:r w:rsidR="00E52905">
        <w:rPr>
          <w:color w:val="000000"/>
          <w:shd w:val="clear" w:color="auto" w:fill="FFFFFF"/>
        </w:rPr>
        <w:t xml:space="preserve">behavioral and physiological </w:t>
      </w:r>
      <w:r w:rsidR="00E52905">
        <w:rPr>
          <w:color w:val="000000"/>
          <w:shd w:val="clear" w:color="auto" w:fill="FFFFFF"/>
        </w:rPr>
        <w:lastRenderedPageBreak/>
        <w:t>changes</w:t>
      </w:r>
      <w:r w:rsidR="00937120">
        <w:rPr>
          <w:color w:val="000000"/>
          <w:shd w:val="clear" w:color="auto" w:fill="FFFFFF"/>
        </w:rPr>
        <w:t>,</w:t>
      </w:r>
      <w:r w:rsidR="00E52905">
        <w:rPr>
          <w:color w:val="000000"/>
          <w:shd w:val="clear" w:color="auto" w:fill="FFFFFF"/>
        </w:rPr>
        <w:t xml:space="preserve"> which</w:t>
      </w:r>
      <w:r w:rsidR="00937120">
        <w:rPr>
          <w:color w:val="000000"/>
          <w:shd w:val="clear" w:color="auto" w:fill="FFFFFF"/>
        </w:rPr>
        <w:t xml:space="preserve"> presumably</w:t>
      </w:r>
      <w:r w:rsidR="00E52905">
        <w:rPr>
          <w:color w:val="000000"/>
          <w:shd w:val="clear" w:color="auto" w:fill="FFFFFF"/>
        </w:rPr>
        <w:t xml:space="preserve"> increases an individual’s chance of survival when faced with </w:t>
      </w:r>
      <w:r w:rsidR="009221F6">
        <w:rPr>
          <w:color w:val="000000"/>
          <w:shd w:val="clear" w:color="auto" w:fill="FFFFFF"/>
        </w:rPr>
        <w:t xml:space="preserve">homeostatic </w:t>
      </w:r>
      <w:r w:rsidR="005B67A1">
        <w:rPr>
          <w:color w:val="000000"/>
          <w:shd w:val="clear" w:color="auto" w:fill="FFFFFF"/>
        </w:rPr>
        <w:t>challenges</w:t>
      </w:r>
      <w:r w:rsidR="003C6CA7">
        <w:rPr>
          <w:color w:val="000000"/>
          <w:shd w:val="clear" w:color="auto" w:fill="FFFFFF"/>
        </w:rPr>
        <w:t xml:space="preserve"> and the HPA</w:t>
      </w:r>
      <w:r w:rsidR="007C0EBA">
        <w:rPr>
          <w:color w:val="000000"/>
          <w:shd w:val="clear" w:color="auto" w:fill="FFFFFF"/>
        </w:rPr>
        <w:t xml:space="preserve"> </w:t>
      </w:r>
      <w:r w:rsidR="003C6CA7">
        <w:rPr>
          <w:color w:val="000000"/>
          <w:shd w:val="clear" w:color="auto" w:fill="FFFFFF"/>
        </w:rPr>
        <w:t>axis is a pivotal component of the body’s stress response</w:t>
      </w:r>
      <w:r w:rsidR="009221F6">
        <w:rPr>
          <w:color w:val="000000"/>
          <w:shd w:val="clear" w:color="auto" w:fill="FFFFFF"/>
        </w:rPr>
        <w:t xml:space="preserve"> </w:t>
      </w:r>
      <w:r w:rsidR="00191D6F">
        <w:rPr>
          <w:color w:val="000000"/>
          <w:shd w:val="clear" w:color="auto" w:fill="FFFFFF"/>
        </w:rPr>
        <w:fldChar w:fldCharType="begin"/>
      </w:r>
      <w:r w:rsidR="003C6CA7">
        <w:rPr>
          <w:color w:val="000000"/>
          <w:shd w:val="clear" w:color="auto" w:fill="FFFFFF"/>
        </w:rPr>
        <w:instrText xml:space="preserve"> ADDIN ZOTERO_ITEM CSL_CITATION {"citationID":"dIStpVAS","properties":{"formattedCitation":"(Smith and Vale 2006)","plainCitation":"(Smith and Vale 2006)","noteIndex":0},"citationItems":[{"id":720,"uris":["http://zotero.org/users/local/wdQKiz3s/items/7LPE6KIS"],"uri":["http://zotero.org/users/local/wdQKiz3s/items/7LPE6KIS"],"itemData":{"id":720,"type":"article-journal","abstract":"Animals respond to stress by activating a wide array of behavioral and physiological responses that are collectively referred to as the stress response. Corticotropin-releasing factor (CRF) plays a central role in the stress response by regulating the ...","container-title":"Dialogues in Clinical Neuroscience","DOI":"10.31887/DCNS.2006.8.4/ssmith","issue":"4","language":"en","note":"publisher: Les Laboratoires Servier\nPMID: 17290797","page":"383","source":"www-ncbi-nlm-nih-gov.colorado.idm.oclc.org","title":"The role of the hypothalamic-pituitary-adrenal axis in neuroendocrine responses to stress","volume":"8","author":[{"family":"Smith","given":"Sean M."},{"family":"Vale","given":"Wylie W."}],"issued":{"date-parts":[["2006",12]]}}}],"schema":"https://github.com/citation-style-language/schema/raw/master/csl-citation.json"} </w:instrText>
      </w:r>
      <w:r w:rsidR="00191D6F">
        <w:rPr>
          <w:color w:val="000000"/>
          <w:shd w:val="clear" w:color="auto" w:fill="FFFFFF"/>
        </w:rPr>
        <w:fldChar w:fldCharType="separate"/>
      </w:r>
      <w:r w:rsidR="003C6CA7">
        <w:rPr>
          <w:noProof/>
          <w:color w:val="000000"/>
          <w:shd w:val="clear" w:color="auto" w:fill="FFFFFF"/>
        </w:rPr>
        <w:t>(Smith and Vale 2006)</w:t>
      </w:r>
      <w:r w:rsidR="00191D6F">
        <w:rPr>
          <w:color w:val="000000"/>
          <w:shd w:val="clear" w:color="auto" w:fill="FFFFFF"/>
        </w:rPr>
        <w:fldChar w:fldCharType="end"/>
      </w:r>
      <w:r w:rsidR="003C6CA7">
        <w:rPr>
          <w:color w:val="000000"/>
          <w:shd w:val="clear" w:color="auto" w:fill="FFFFFF"/>
        </w:rPr>
        <w:t xml:space="preserve">. </w:t>
      </w:r>
      <w:r w:rsidR="00C11078">
        <w:rPr>
          <w:color w:val="000000"/>
          <w:shd w:val="clear" w:color="auto" w:fill="FFFFFF"/>
        </w:rPr>
        <w:t xml:space="preserve">CRH </w:t>
      </w:r>
      <w:r w:rsidR="00B71036">
        <w:rPr>
          <w:color w:val="000000"/>
          <w:shd w:val="clear" w:color="auto" w:fill="FFFFFF"/>
        </w:rPr>
        <w:t xml:space="preserve">is one of the primary </w:t>
      </w:r>
      <w:r w:rsidR="00860800">
        <w:rPr>
          <w:color w:val="000000"/>
          <w:shd w:val="clear" w:color="auto" w:fill="FFFFFF"/>
        </w:rPr>
        <w:t xml:space="preserve">peptide hormones </w:t>
      </w:r>
      <w:r w:rsidR="000B30BF">
        <w:rPr>
          <w:color w:val="000000"/>
          <w:shd w:val="clear" w:color="auto" w:fill="FFFFFF"/>
        </w:rPr>
        <w:t xml:space="preserve">utilized in the HPA axis </w:t>
      </w:r>
      <w:r w:rsidR="00F35FFE">
        <w:rPr>
          <w:color w:val="000000"/>
          <w:shd w:val="clear" w:color="auto" w:fill="FFFFFF"/>
        </w:rPr>
        <w:t>and</w:t>
      </w:r>
      <w:r w:rsidR="00723B49">
        <w:rPr>
          <w:color w:val="000000"/>
          <w:shd w:val="clear" w:color="auto" w:fill="FFFFFF"/>
        </w:rPr>
        <w:t xml:space="preserve"> </w:t>
      </w:r>
      <w:r w:rsidR="00C11078">
        <w:rPr>
          <w:color w:val="000000"/>
          <w:shd w:val="clear" w:color="auto" w:fill="FFFFFF"/>
        </w:rPr>
        <w:t>i</w:t>
      </w:r>
      <w:r w:rsidR="00675A24">
        <w:rPr>
          <w:color w:val="000000"/>
          <w:shd w:val="clear" w:color="auto" w:fill="FFFFFF"/>
        </w:rPr>
        <w:t>ncrease</w:t>
      </w:r>
      <w:r w:rsidR="00F35FFE">
        <w:rPr>
          <w:color w:val="000000"/>
          <w:shd w:val="clear" w:color="auto" w:fill="FFFFFF"/>
        </w:rPr>
        <w:t>s</w:t>
      </w:r>
      <w:r w:rsidR="00675A24">
        <w:rPr>
          <w:color w:val="000000"/>
          <w:shd w:val="clear" w:color="auto" w:fill="FFFFFF"/>
        </w:rPr>
        <w:t xml:space="preserve"> the</w:t>
      </w:r>
      <w:r w:rsidR="00AF7C17">
        <w:rPr>
          <w:color w:val="000000"/>
          <w:shd w:val="clear" w:color="auto" w:fill="FFFFFF"/>
        </w:rPr>
        <w:t xml:space="preserve"> concentration</w:t>
      </w:r>
      <w:r w:rsidR="00675A24">
        <w:rPr>
          <w:color w:val="000000"/>
          <w:shd w:val="clear" w:color="auto" w:fill="FFFFFF"/>
        </w:rPr>
        <w:t xml:space="preserve"> </w:t>
      </w:r>
      <w:r w:rsidR="007469DB">
        <w:rPr>
          <w:color w:val="000000"/>
          <w:shd w:val="clear" w:color="auto" w:fill="FFFFFF"/>
        </w:rPr>
        <w:t xml:space="preserve">of </w:t>
      </w:r>
      <w:r w:rsidR="00675A24">
        <w:rPr>
          <w:color w:val="000000"/>
          <w:shd w:val="clear" w:color="auto" w:fill="FFFFFF"/>
        </w:rPr>
        <w:t>circulating</w:t>
      </w:r>
      <w:r w:rsidR="00167DFD">
        <w:rPr>
          <w:color w:val="000000"/>
          <w:shd w:val="clear" w:color="auto" w:fill="FFFFFF"/>
        </w:rPr>
        <w:t xml:space="preserve"> cortisol, the key</w:t>
      </w:r>
      <w:r w:rsidR="00675A24">
        <w:rPr>
          <w:color w:val="000000"/>
          <w:shd w:val="clear" w:color="auto" w:fill="FFFFFF"/>
        </w:rPr>
        <w:t xml:space="preserve"> glucocorticoid</w:t>
      </w:r>
      <w:r w:rsidR="007469DB">
        <w:rPr>
          <w:color w:val="000000"/>
          <w:shd w:val="clear" w:color="auto" w:fill="FFFFFF"/>
        </w:rPr>
        <w:t xml:space="preserve"> (a type of steroid stress hormone)</w:t>
      </w:r>
      <w:r w:rsidR="00012332">
        <w:rPr>
          <w:color w:val="000000"/>
          <w:shd w:val="clear" w:color="auto" w:fill="FFFFFF"/>
        </w:rPr>
        <w:t xml:space="preserve"> during a stressful event</w:t>
      </w:r>
      <w:r w:rsidR="00723B49">
        <w:rPr>
          <w:color w:val="000000"/>
          <w:shd w:val="clear" w:color="auto" w:fill="FFFFFF"/>
        </w:rPr>
        <w:t xml:space="preserve">, effectively increasing levels of </w:t>
      </w:r>
      <w:r w:rsidR="005C0FEA">
        <w:rPr>
          <w:color w:val="000000"/>
          <w:shd w:val="clear" w:color="auto" w:fill="FFFFFF"/>
        </w:rPr>
        <w:t xml:space="preserve">glucose </w:t>
      </w:r>
      <w:r w:rsidR="00F4037C">
        <w:rPr>
          <w:color w:val="000000"/>
          <w:shd w:val="clear" w:color="auto" w:fill="FFFFFF"/>
        </w:rPr>
        <w:t>and fats for energy use</w:t>
      </w:r>
      <w:r w:rsidR="000F4518">
        <w:rPr>
          <w:color w:val="000000"/>
          <w:shd w:val="clear" w:color="auto" w:fill="FFFFFF"/>
        </w:rPr>
        <w:t xml:space="preserve"> </w:t>
      </w:r>
      <w:r w:rsidR="00012332">
        <w:rPr>
          <w:color w:val="000000"/>
          <w:shd w:val="clear" w:color="auto" w:fill="FFFFFF"/>
        </w:rPr>
        <w:t>to</w:t>
      </w:r>
      <w:r w:rsidR="00806363">
        <w:rPr>
          <w:color w:val="000000"/>
          <w:shd w:val="clear" w:color="auto" w:fill="FFFFFF"/>
        </w:rPr>
        <w:t xml:space="preserve"> presumably</w:t>
      </w:r>
      <w:r w:rsidR="00012332">
        <w:rPr>
          <w:color w:val="000000"/>
          <w:shd w:val="clear" w:color="auto" w:fill="FFFFFF"/>
        </w:rPr>
        <w:t xml:space="preserve"> increase chances of survival</w:t>
      </w:r>
      <w:r w:rsidR="000B30BF">
        <w:rPr>
          <w:color w:val="000000"/>
          <w:shd w:val="clear" w:color="auto" w:fill="FFFFFF"/>
        </w:rPr>
        <w:t xml:space="preserve"> </w:t>
      </w:r>
      <w:r w:rsidR="000F4518">
        <w:rPr>
          <w:color w:val="000000"/>
          <w:shd w:val="clear" w:color="auto" w:fill="FFFFFF"/>
        </w:rPr>
        <w:fldChar w:fldCharType="begin"/>
      </w:r>
      <w:r w:rsidR="00F0086D">
        <w:rPr>
          <w:color w:val="000000"/>
          <w:shd w:val="clear" w:color="auto" w:fill="FFFFFF"/>
        </w:rPr>
        <w:instrText xml:space="preserve"> ADDIN ZOTERO_ITEM CSL_CITATION {"citationID":"Jls6N6Tk","properties":{"formattedCitation":"(Aguilera 1998)","plainCitation":"(Aguilera 1998)","noteIndex":0},"citationItems":[{"id":724,"uris":["http://zotero.org/users/local/wdQKiz3s/items/6WCN2T4K"],"uri":["http://zotero.org/users/local/wdQKiz3s/items/6WCN2T4K"],"itemData":{"id":724,"type":"article-journal","abstract":"Corticotropin releasing hormone (CRH) coordinates behavioral, autonomic and hormonal responses to stress, including activation of the hypothalamic–pituitary–adrenal (HPA) axis with stimulation of adrenocorticotropin (ACTH) and glucocorticoids. Differential changes of expression of CRH and vasopressin(VP) in the parvicellular hypothalamic paraventricular nucleus (PVN), as well as regulation of CRH and VP receptors, are critical for the responsiveness of the HPA axis during stress. Pituitary CRH receptor (CRH-R)expression and content is controlled by the coordinated action of CRH, VP and glucocorticoids. Marked changes in hypothalamic and pituitary CRH-R expression support a key regulatory role for CRH in the HPA axis and the integrated stress response.","container-title":"Trends in Endocrinology &amp; Metabolism","DOI":"10.1016/S1043-2760(98)00079-4","ISSN":"1043-2760","issue":"8","journalAbbreviation":"Trends in Endocrinology &amp; Metabolism","language":"en","page":"329-336","source":"ScienceDirect","title":"Corticotropin Releasing Hormone, Receptor Regulation and the Stress Response","volume":"9","author":[{"family":"Aguilera","given":"Greti"}],"issued":{"date-parts":[["1998",10,1]]}}}],"schema":"https://github.com/citation-style-language/schema/raw/master/csl-citation.json"} </w:instrText>
      </w:r>
      <w:r w:rsidR="000F4518">
        <w:rPr>
          <w:color w:val="000000"/>
          <w:shd w:val="clear" w:color="auto" w:fill="FFFFFF"/>
        </w:rPr>
        <w:fldChar w:fldCharType="separate"/>
      </w:r>
      <w:r w:rsidR="00F0086D">
        <w:rPr>
          <w:noProof/>
          <w:color w:val="000000"/>
          <w:shd w:val="clear" w:color="auto" w:fill="FFFFFF"/>
        </w:rPr>
        <w:t>(Aguilera 1998)</w:t>
      </w:r>
      <w:r w:rsidR="000F4518">
        <w:rPr>
          <w:color w:val="000000"/>
          <w:shd w:val="clear" w:color="auto" w:fill="FFFFFF"/>
        </w:rPr>
        <w:fldChar w:fldCharType="end"/>
      </w:r>
      <w:r w:rsidR="00012332">
        <w:rPr>
          <w:color w:val="000000"/>
          <w:shd w:val="clear" w:color="auto" w:fill="FFFFFF"/>
        </w:rPr>
        <w:t xml:space="preserve">. </w:t>
      </w:r>
      <w:r w:rsidR="00FF228E">
        <w:rPr>
          <w:color w:val="000000"/>
          <w:shd w:val="clear" w:color="auto" w:fill="FFFFFF"/>
        </w:rPr>
        <w:t>PTSD patients have a d</w:t>
      </w:r>
      <w:r w:rsidR="00167DFD">
        <w:rPr>
          <w:color w:val="000000"/>
          <w:shd w:val="clear" w:color="auto" w:fill="FFFFFF"/>
        </w:rPr>
        <w:t xml:space="preserve">ysfunctional </w:t>
      </w:r>
      <w:r w:rsidR="00A03E71">
        <w:rPr>
          <w:color w:val="000000"/>
          <w:shd w:val="clear" w:color="auto" w:fill="FFFFFF"/>
        </w:rPr>
        <w:t xml:space="preserve">HPA-axis </w:t>
      </w:r>
      <w:r w:rsidR="006B1AB0">
        <w:rPr>
          <w:color w:val="000000"/>
          <w:shd w:val="clear" w:color="auto" w:fill="FFFFFF"/>
        </w:rPr>
        <w:t>that continuously</w:t>
      </w:r>
      <w:r w:rsidR="00A03E71">
        <w:rPr>
          <w:color w:val="000000"/>
          <w:shd w:val="clear" w:color="auto" w:fill="FFFFFF"/>
        </w:rPr>
        <w:t xml:space="preserve"> release</w:t>
      </w:r>
      <w:r w:rsidR="006B1AB0">
        <w:rPr>
          <w:color w:val="000000"/>
          <w:shd w:val="clear" w:color="auto" w:fill="FFFFFF"/>
        </w:rPr>
        <w:t>s</w:t>
      </w:r>
      <w:r w:rsidR="00A03E71">
        <w:rPr>
          <w:color w:val="000000"/>
          <w:shd w:val="clear" w:color="auto" w:fill="FFFFFF"/>
        </w:rPr>
        <w:t xml:space="preserve"> CRH</w:t>
      </w:r>
      <w:r w:rsidR="00050B34">
        <w:rPr>
          <w:color w:val="000000"/>
          <w:shd w:val="clear" w:color="auto" w:fill="FFFFFF"/>
        </w:rPr>
        <w:t xml:space="preserve">, </w:t>
      </w:r>
      <w:r w:rsidR="005C0FFD">
        <w:rPr>
          <w:color w:val="000000"/>
          <w:shd w:val="clear" w:color="auto" w:fill="FFFFFF"/>
        </w:rPr>
        <w:t xml:space="preserve">which </w:t>
      </w:r>
      <w:r w:rsidR="00050B34">
        <w:rPr>
          <w:color w:val="000000"/>
          <w:shd w:val="clear" w:color="auto" w:fill="FFFFFF"/>
        </w:rPr>
        <w:t>mak</w:t>
      </w:r>
      <w:r w:rsidR="005C0FFD">
        <w:rPr>
          <w:color w:val="000000"/>
          <w:shd w:val="clear" w:color="auto" w:fill="FFFFFF"/>
        </w:rPr>
        <w:t>es</w:t>
      </w:r>
      <w:r w:rsidR="00050B34">
        <w:rPr>
          <w:color w:val="000000"/>
          <w:shd w:val="clear" w:color="auto" w:fill="FFFFFF"/>
        </w:rPr>
        <w:t xml:space="preserve"> the body’s physiological response </w:t>
      </w:r>
      <w:r w:rsidR="00096BEC">
        <w:rPr>
          <w:color w:val="000000"/>
          <w:shd w:val="clear" w:color="auto" w:fill="FFFFFF"/>
        </w:rPr>
        <w:t xml:space="preserve">to one stressful event very </w:t>
      </w:r>
      <w:r w:rsidR="00C8574A">
        <w:rPr>
          <w:color w:val="000000"/>
          <w:shd w:val="clear" w:color="auto" w:fill="FFFFFF"/>
        </w:rPr>
        <w:t>prolonged</w:t>
      </w:r>
      <w:r w:rsidR="00096BEC">
        <w:rPr>
          <w:color w:val="000000"/>
          <w:shd w:val="clear" w:color="auto" w:fill="FFFFFF"/>
        </w:rPr>
        <w:t xml:space="preserve">. This </w:t>
      </w:r>
      <w:r w:rsidR="00A93A1B">
        <w:rPr>
          <w:color w:val="000000"/>
          <w:shd w:val="clear" w:color="auto" w:fill="FFFFFF"/>
        </w:rPr>
        <w:t xml:space="preserve">prolonged response </w:t>
      </w:r>
      <w:r w:rsidR="00096BEC">
        <w:rPr>
          <w:color w:val="000000"/>
          <w:shd w:val="clear" w:color="auto" w:fill="FFFFFF"/>
        </w:rPr>
        <w:t>is</w:t>
      </w:r>
      <w:r w:rsidR="005C0FFD">
        <w:rPr>
          <w:color w:val="000000"/>
          <w:shd w:val="clear" w:color="auto" w:fill="FFFFFF"/>
        </w:rPr>
        <w:t xml:space="preserve"> related to the key role</w:t>
      </w:r>
      <w:r w:rsidR="00B57797">
        <w:rPr>
          <w:color w:val="000000"/>
          <w:shd w:val="clear" w:color="auto" w:fill="FFFFFF"/>
        </w:rPr>
        <w:t xml:space="preserve"> of</w:t>
      </w:r>
      <w:r w:rsidR="00096BEC">
        <w:rPr>
          <w:color w:val="000000"/>
          <w:shd w:val="clear" w:color="auto" w:fill="FFFFFF"/>
        </w:rPr>
        <w:t xml:space="preserve"> CRH </w:t>
      </w:r>
      <w:r w:rsidR="00B57797">
        <w:rPr>
          <w:color w:val="000000"/>
          <w:shd w:val="clear" w:color="auto" w:fill="FFFFFF"/>
        </w:rPr>
        <w:t>in the</w:t>
      </w:r>
      <w:r w:rsidR="00096BEC">
        <w:rPr>
          <w:color w:val="000000"/>
          <w:shd w:val="clear" w:color="auto" w:fill="FFFFFF"/>
        </w:rPr>
        <w:t xml:space="preserve"> chronic inflammation</w:t>
      </w:r>
      <w:r w:rsidR="00A93A1B">
        <w:rPr>
          <w:color w:val="000000"/>
          <w:shd w:val="clear" w:color="auto" w:fill="FFFFFF"/>
        </w:rPr>
        <w:t xml:space="preserve"> </w:t>
      </w:r>
      <w:r w:rsidR="00B57797">
        <w:rPr>
          <w:color w:val="000000"/>
          <w:shd w:val="clear" w:color="auto" w:fill="FFFFFF"/>
        </w:rPr>
        <w:t xml:space="preserve">associated </w:t>
      </w:r>
      <w:r w:rsidR="00F73E3B">
        <w:rPr>
          <w:color w:val="000000"/>
          <w:shd w:val="clear" w:color="auto" w:fill="FFFFFF"/>
        </w:rPr>
        <w:t xml:space="preserve">with </w:t>
      </w:r>
      <w:r w:rsidR="00096BEC">
        <w:rPr>
          <w:color w:val="000000"/>
          <w:shd w:val="clear" w:color="auto" w:fill="FFFFFF"/>
        </w:rPr>
        <w:t xml:space="preserve">PTSD symptomology </w:t>
      </w:r>
      <w:r w:rsidR="00096BEC">
        <w:rPr>
          <w:color w:val="000000"/>
          <w:shd w:val="clear" w:color="auto" w:fill="FFFFFF"/>
        </w:rPr>
        <w:fldChar w:fldCharType="begin"/>
      </w:r>
      <w:r w:rsidR="00A93A1B">
        <w:rPr>
          <w:color w:val="000000"/>
          <w:shd w:val="clear" w:color="auto" w:fill="FFFFFF"/>
        </w:rPr>
        <w:instrText xml:space="preserve"> ADDIN ZOTERO_ITEM CSL_CITATION {"citationID":"zE1tiEAn","properties":{"formattedCitation":"(Herman et al. 2016)","plainCitation":"(Herman et al. 2016)","noteIndex":0},"citationItems":[{"id":430,"uris":["http://zotero.org/users/local/wdQKiz3s/items/3RQP9DL7"],"uri":["http://zotero.org/users/local/wdQKiz3s/items/3RQP9DL7"],"itemData":{"id":430,"type":"chapter","abstract":"The hypothalamo-pituitary-adrenocortical (HPA) axis is required for stress adaptation. Activation of the HPA axis causes secretion of glucocorticoids, which act on multiple organ systems to redirect energy resources to meet real or anticipated demand. The HPA stress response is driven primarily by neural mechanisms, invoking corticotrophin releasing hormone (CRH) release from hypothalamic paraventricular nucleus (PVN) neurons. Pathways activating CRH release are stressor dependent: reactive responses to homeostatic disruption frequently involve direct noradrenergic or peptidergic drive of PVN neurons by sensory relays, whereas anticipatory responses use oligosynaptic pathways originating in upstream limbic structures. Anticipatory responses are driven largely by disinhibition, mediated by trans-synaptic silencing of tonic PVN inhibition via GABAergic neurons in the amygdala. Stress responses are inhibited by negative feedback mechanisms, whereby glucocorticoids act to diminish drive (brainstem) and promote transsynaptic inhibition by limbic structures (e.g., hippocampus). Glucocorticoids also act at the PVN to rapidly inhibit CRH neuronal activity via membrane glucocorticoid receptors. Chronic stress-induced activation of the HPA axis takes many forms (chronic basal hypersecretion, sensitized stress responses, and even adrenal exhaustion), with manifestation dependent upon factors such as stressor chronicity, intensity, frequency, and modality. Neural mechanisms driving chronic stress responses can be distinct from those controlling acute reactions, including recruitment of novel limbic, hypothalamic, and brainstem circuits. Importantly, an individual's response to acute or chronic stress is determined by numerous factors, including genetics, early life experience, environmental conditions, sex, and age. The context in which stressors occur will determine whether an individual's acute or chronic stress responses are adaptive or maladaptive (pathological). © 2016 American Physiological Society. Compr Physiol 6:603-621, 2016.","container-title":"Comprehensive Physiology","ISBN":"978-0-470-65071-4","language":"en","note":"_eprint: https://onlinelibrary.wiley.com/doi/pdf/10.1002/cphy.c150015\nDOI: 10.1002/cphy.c150015","page":"603-621","publisher":"American Cancer Society","source":"Wiley Online Library","title":"Regulation of the Hypothalamic-Pituitary-Adrenocortical Stress Response","URL":"https://onlinelibrary.wiley.com/doi/abs/10.1002/cphy.c150015","author":[{"family":"Herman","given":"James P."},{"family":"McKlveen","given":"Jessica M."},{"family":"Ghosal","given":"Sriparna"},{"family":"Kopp","given":"Brittany"},{"family":"Wulsin","given":"Aynara"},{"family":"Makinson","given":"Ryan"},{"family":"Scheimann","given":"Jessie"},{"family":"Myers","given":"Brent"}],"accessed":{"date-parts":[["2020",11,4]]},"issued":{"date-parts":[["2016"]]}}}],"schema":"https://github.com/citation-style-language/schema/raw/master/csl-citation.json"} </w:instrText>
      </w:r>
      <w:r w:rsidR="00096BEC">
        <w:rPr>
          <w:color w:val="000000"/>
          <w:shd w:val="clear" w:color="auto" w:fill="FFFFFF"/>
        </w:rPr>
        <w:fldChar w:fldCharType="separate"/>
      </w:r>
      <w:r w:rsidR="00A93A1B">
        <w:rPr>
          <w:noProof/>
          <w:color w:val="000000"/>
          <w:shd w:val="clear" w:color="auto" w:fill="FFFFFF"/>
        </w:rPr>
        <w:t>(Herman et al. 2016</w:t>
      </w:r>
      <w:r w:rsidR="00F73E3B">
        <w:rPr>
          <w:noProof/>
          <w:color w:val="000000"/>
          <w:shd w:val="clear" w:color="auto" w:fill="FFFFFF"/>
        </w:rPr>
        <w:t>; for more detail see below</w:t>
      </w:r>
      <w:r w:rsidR="00A93A1B">
        <w:rPr>
          <w:noProof/>
          <w:color w:val="000000"/>
          <w:shd w:val="clear" w:color="auto" w:fill="FFFFFF"/>
        </w:rPr>
        <w:t>)</w:t>
      </w:r>
      <w:r w:rsidR="00096BEC">
        <w:rPr>
          <w:color w:val="000000"/>
          <w:shd w:val="clear" w:color="auto" w:fill="FFFFFF"/>
        </w:rPr>
        <w:fldChar w:fldCharType="end"/>
      </w:r>
      <w:r w:rsidR="00A93A1B">
        <w:rPr>
          <w:color w:val="000000"/>
          <w:shd w:val="clear" w:color="auto" w:fill="FFFFFF"/>
        </w:rPr>
        <w:t xml:space="preserve">. </w:t>
      </w:r>
    </w:p>
    <w:p w14:paraId="509A9D2E" w14:textId="568CE153" w:rsidR="00DF41D6" w:rsidRDefault="00DF41D6" w:rsidP="007A1D40">
      <w:pPr>
        <w:spacing w:line="480" w:lineRule="auto"/>
        <w:rPr>
          <w:color w:val="000000"/>
          <w:shd w:val="clear" w:color="auto" w:fill="FFFFFF"/>
        </w:rPr>
      </w:pPr>
    </w:p>
    <w:p w14:paraId="75AD1167" w14:textId="7FABEE89" w:rsidR="00DF41D6" w:rsidRDefault="004C0A02" w:rsidP="00937EC9">
      <w:pPr>
        <w:spacing w:line="480" w:lineRule="auto"/>
        <w:jc w:val="center"/>
      </w:pPr>
      <w:r>
        <w:rPr>
          <w:noProof/>
        </w:rPr>
        <w:lastRenderedPageBreak/>
        <w:drawing>
          <wp:inline distT="0" distB="0" distL="0" distR="0" wp14:anchorId="01EAFB94" wp14:editId="46F36765">
            <wp:extent cx="5943600" cy="5960110"/>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5960110"/>
                    </a:xfrm>
                    <a:prstGeom prst="rect">
                      <a:avLst/>
                    </a:prstGeom>
                  </pic:spPr>
                </pic:pic>
              </a:graphicData>
            </a:graphic>
          </wp:inline>
        </w:drawing>
      </w:r>
    </w:p>
    <w:p w14:paraId="50ACC3A1" w14:textId="411C0662" w:rsidR="00937EC9" w:rsidRDefault="001B6698" w:rsidP="00937EC9">
      <w:pPr>
        <w:spacing w:line="480" w:lineRule="auto"/>
      </w:pPr>
      <w:r>
        <w:t>Figure 1:</w:t>
      </w:r>
      <w:r w:rsidR="000F2FC3">
        <w:t xml:space="preserve"> Components of the hypothalamus-pituitary-adrenal axis (HPA axis) and key hormones that are produced by and/or link these components. CRH = corticotrophin-releasing hormone. ACTH = adrenocorticotrophic hormone</w:t>
      </w:r>
      <w:r w:rsidR="00B13E84">
        <w:t xml:space="preserve">. </w:t>
      </w:r>
      <w:r w:rsidR="008F5147">
        <w:t xml:space="preserve">Figure made by author using </w:t>
      </w:r>
      <w:proofErr w:type="spellStart"/>
      <w:r w:rsidR="008F5147">
        <w:t>BioRender</w:t>
      </w:r>
      <w:proofErr w:type="spellEnd"/>
    </w:p>
    <w:p w14:paraId="7745F2F1" w14:textId="77777777" w:rsidR="007C0CC0" w:rsidRDefault="007C0CC0" w:rsidP="00EF1DBA">
      <w:pPr>
        <w:spacing w:line="480" w:lineRule="auto"/>
      </w:pPr>
    </w:p>
    <w:p w14:paraId="2C3E2A2A" w14:textId="25D82008" w:rsidR="00EF1DBA" w:rsidRPr="00EF1DBA" w:rsidRDefault="007C0CC0" w:rsidP="00EF1DBA">
      <w:pPr>
        <w:spacing w:line="480" w:lineRule="auto"/>
      </w:pPr>
      <w:r>
        <w:t>New discoveries in recent years are suggesting additional options for</w:t>
      </w:r>
      <w:r w:rsidR="00A779F2">
        <w:t xml:space="preserve"> PTSD</w:t>
      </w:r>
      <w:r>
        <w:t xml:space="preserve"> treatment and/or prevention that could improve the lives of patients suffering from PTSD. For example, </w:t>
      </w:r>
      <w:r w:rsidRPr="002A6681">
        <w:t xml:space="preserve">the </w:t>
      </w:r>
      <w:r w:rsidRPr="002A6681">
        <w:lastRenderedPageBreak/>
        <w:t xml:space="preserve">propensity to exhibit </w:t>
      </w:r>
      <w:r>
        <w:t xml:space="preserve">prolonged </w:t>
      </w:r>
      <w:r w:rsidRPr="002A6681">
        <w:t>stress responses</w:t>
      </w:r>
      <w:r>
        <w:t xml:space="preserve"> from PTSD</w:t>
      </w:r>
      <w:r w:rsidRPr="002A6681">
        <w:t xml:space="preserve"> is</w:t>
      </w:r>
      <w:r>
        <w:t xml:space="preserve"> now recognized to be a </w:t>
      </w:r>
      <w:r w:rsidRPr="002A6681">
        <w:t xml:space="preserve">complex </w:t>
      </w:r>
      <w:r>
        <w:t xml:space="preserve">pathophysiological processes </w:t>
      </w:r>
      <w:r w:rsidRPr="002A6681">
        <w:t>reflect</w:t>
      </w:r>
      <w:r>
        <w:t>ing</w:t>
      </w:r>
      <w:r w:rsidRPr="002A6681">
        <w:t xml:space="preserve"> genetics, history of environmental exposures, stage of life, and </w:t>
      </w:r>
      <w:r>
        <w:t xml:space="preserve">the social context </w:t>
      </w:r>
      <w:r w:rsidRPr="002A6681">
        <w:t xml:space="preserve">of traumatic stress </w:t>
      </w:r>
      <w:r>
        <w:t xml:space="preserve">itself </w:t>
      </w:r>
      <w:r w:rsidRPr="002A6681">
        <w:t>and</w:t>
      </w:r>
      <w:r>
        <w:t xml:space="preserve"> the</w:t>
      </w:r>
      <w:r w:rsidRPr="002A6681">
        <w:t xml:space="preserve"> post-traumatic </w:t>
      </w:r>
      <w:r>
        <w:t>period</w:t>
      </w:r>
      <w:r w:rsidRPr="002A6681">
        <w:t xml:space="preserve"> </w:t>
      </w:r>
      <w:r>
        <w:fldChar w:fldCharType="begin"/>
      </w:r>
      <w:r w:rsidR="003C6CA7">
        <w:instrText xml:space="preserve"> ADDIN ZOTERO_ITEM CSL_CITATION {"citationID":"cJZzm5FI","properties":{"formattedCitation":"(Ozer et al. 2003; Aguilera et al. 2009; Aux\\uc0\\u233{}m\\uc0\\u233{}ry 2012; Brock et al. 2019)","plainCitation":"(Ozer et al. 2003; Aguilera et al. 2009; Auxéméry 2012; Brock et al. 2019)","noteIndex":0},"citationItems":[{"id":357,"uris":["http://zotero.org/users/local/wdQKiz3s/items/ZC7LSKC8"],"uri":["http://zotero.org/users/local/wdQKiz3s/items/ZC7LSKC8"],"itemData":{"id":357,"type":"article-journal","abstract":"A review of 2,647 studies of posttraumatic stress disorder (PTSD) yielded 476 potential candidates for a meta-analysis of predictors of PTSD or of its symptoms. From these, 68 studies met criteria for inclusion in a meta-analysis of 7 predictors: (a) prior trauma, (b) prior psychological adjustment, (c) family history of psychopathology, (d) perceived life threat during the trauma, (e) posttrauma social support, (f) peritraumatic emotional responses, and (g) peritraumatic dissociation. All yielded significant effect sizes, with family history, prior trauma, and prior adjustment the smallest (weighted r = .17) and peritraumatic dissociation the largest (weighted r = .35). The results suggest that peritraumatic psychological processes, not prior characteristics, are the strongest predictors of PTSD.","container-title":"Psychological Bulletin","DOI":"10.1037/0033-2909.129.1.52","ISSN":"0033-2909","issue":"1","journalAbbreviation":"Psychol Bull","language":"eng","note":"PMID: 12555794","page":"52-73","source":"PubMed","title":"Predictors of posttraumatic stress disorder and symptoms in adults: a meta-analysis","title-short":"Predictors of posttraumatic stress disorder and symptoms in adults","volume":"129","author":[{"family":"Ozer","given":"Emily J."},{"family":"Best","given":"Suzanne R."},{"family":"Lipsey","given":"Tami L."},{"family":"Weiss","given":"Daniel S."}],"issued":{"date-parts":[["2003",1]]}}},{"id":363,"uris":["http://zotero.org/users/local/wdQKiz3s/items/D7JXRPPI"],"uri":["http://zotero.org/users/local/wdQKiz3s/items/D7JXRPPI"],"itemData":{"id":363,"type":"article-journal","abstract":"BACKGROUND: Adverse childhood experiences have been described as one of the major environmental risk factors for depressive disorder. Similarly, the deleterious impact of early traumatic experiences on depression seems to be moderated by individual genetic variability. Serotonin transporter (5-HTT) and brain-derived neurotrophic factor (BDNF) modulate the effect of childhood adversity on adult depression, although inconsistencies across studies have been found. Moreover, the gene x environment (GxE) interaction concerning the different types of childhood adversity remains poorly understood. The aim of this study was to analyse the putative interaction between the 5-HTT gene (5-HTTLPR polymorphism), the BDNF gene (Val66Met polymorphism) and childhood adversity in accounting for adult depressive symptoms.\nMETHOD: A sample of 534 healthy individuals filled in self-report questionnaires of depressive symptomatology [the Symptom Check List 90 Revised (SCL-90-R)] and different types of childhood adversities [the Childhood Trauma Questionnaire (CTQ)]. The 5-HTTLPR polymorphism (5-HTT gene) and the Val66Met polymorphism (BDNF gene) were genotyped in the whole sample.\nRESULTS: Total childhood adversity (beta=0.27, p&lt;0.001), childhood sexual abuse (CSA; beta=0.17, p&lt;0.001), childhood emotional abuse (beta=0.27, p&lt;0.001) and childhood emotional neglect (beta=0.22, p&lt;0.001) had an impact on adult depressive symptoms. CSA had a greater impact on depressive symptoms in Met allele carriers of the BDNF gene than in the Val/Val group (F=5.87, p&lt;0.0001), and in S carriers of the 5-HTTLPR polymorphism (5-HTT gene) (F=5.80, p&lt;0.0001).\nCONCLUSIONS: Childhood adversity per se predicted higher levels of adult depressive symptoms. In addition, BDNF Val66Met and 5-HTTLPR polymorphisms seemed to moderate the effect of CSA on adult depressive symptoms.","container-title":"Psychological Medicine","DOI":"10.1017/S0033291709005248","ISSN":"1469-8978","issue":"9","journalAbbreviation":"Psychol Med","language":"eng","note":"PMID: 19215635","page":"1425-1432","source":"PubMed","title":"Early adversity and 5-HTT/BDNF genes: new evidence of gene-environment interactions on depressive symptoms in a general population","title-short":"Early adversity and 5-HTT/BDNF genes","volume":"39","author":[{"family":"Aguilera","given":"M."},{"family":"Arias","given":"B."},{"family":"Wichers","given":"M."},{"family":"Barrantes-Vidal","given":"N."},{"family":"Moya","given":"J."},{"family":"Villa","given":"H."},{"family":"Os","given":"J.","non-dropping-particle":"van"},{"family":"Ibáñez","given":"M. I."},{"family":"Ruipérez","given":"M. A."},{"family":"Ortet","given":"G."},{"family":"Fañanás","given":"L."}],"issued":{"date-parts":[["2009",9]]}}},{"id":359,"uris":["http://zotero.org/users/local/wdQKiz3s/items/CQZ9ZMI9"],"uri":["http://zotero.org/users/local/wdQKiz3s/items/CQZ9ZMI9"],"itemData":{"id":359,"type":"article-journal","abstract":"INTRODUCTION: Why are some individuals more likely than others to develop a posttraumatic stress disorder (PTSD) in the face of similar levels of trauma exposure? Monitoring the traumatic process combining the antecedents, the determinants of the psychic trauma and the acute symptoms can clarify the causes of the final onset of a chronic repetition syndrome. Epidemiologic research has clarified risk factors that increase the likelihood of PTSD after exposure to a potentially traumatic event. PTSD is an interaction between a subject, a traumatogenic factor and a social context. With each epidemiological, psychopathological and more particularly neurogenetic study, we will expand on the impact of these interactions on the therapeutic treatment of psycho-traumatised persons.\nLITERATURE FINDINGS: Most studies have shown that unrelated to the traumatic event, additional risk factors for developing PTSD include younger age at the time of the trauma, female gender, lower social economic statuts, lack of social support, premorbid personality characteristics and preexisting anxiety or depressive disorders increase the risk of PTSD. The psychic trauma is firmly attached to the repetition and the previous traumas are as many risks of developing a subsequent PTSD in the wake of a new trauma: PTSD in adults may represent a prolonged symptomatic reaction to prior traumatic assault, child abuse and childhood adversities. Related to the traumatic event, the organic pain, the traumatic brain injury, but also the sight of blood can lead to a trauma being considered as more serious or more harmful to life. It is useful to recognize the acute reactions of exhaustion stress as they can guide both the pharmacotherapeutic and the psychotherapeutic treatment thanks to debriefings. Even though the majority of people with acute stress disorder subsequently develop PTSD, the current data indicate that too many people can develop PTSD without initially displaying acute stress disorder. Though peritraumatic dissociation and peritraumatic distress have emerged as the strongest predictors for PTSD and have to be treated as soon as possible with the debriefing or the pharmacology; initial evidence suggests the potential benefits of early intervention, shortly after the trauma, and psychological debriefing has received increasing interest from the scientific community. However the Anglo-Saxon techniques (such as Critical Incident Stress Debriefing also known as the Mitchell model) are in total contrast with the French approach. In the first case the emotional response is controlled to ensure the pursuit of the group action, whilst in the second case the debriefing concerns patients with acute symptoms in order to prevent the development of a PTSD structuring of the latter. The facts, emotions and thoughts are not partitioned but inter-linked, thus enabling a fragmentation of the traumatic experience. In the face of the annihilation experienced, speech production by the subject is restored linking the person to the human community, once abandoned. However, debate continues on the efficacy of single session debriefing in the prevention of PTSD. At the time of the acute stress reactions, benzodiazepines are contraindicated at this stage as they promote dissociation and ulterior revivals. On the other hand, treatment with propranolol could be proposed: a two or three week course of propranolol begun in the aftermath of a traumatic event can reduce subsequent PTSD symptoms.\nDISCUSSION: A genetic polymorphism is evidently at work in the development of a PTSD via the regulation of the expression of genes of interest to the serotoninergic system and the adrenocorticotropic axis. The 5-HTTLPR (promoter region of SLC6A4 witch encodes the serotonin transporter) constitutes a genetic candidate region that may modulate emotional responses to traumatic events. The interaction between variation at the 5HTTLPR and stressful life events could predict depression and PTSD. Considering the dopaminergic pathway, the A1 allele coding the type 2 dopaminergic receptor is associated with a severe comorbidity of PTSD with the presence of somatic disorders, anxiety, social change and depression. For noradrenergic neuromodulation, an interaction between the polymorphism of gene GABRA2 and the occurrence of PTSD is described whereas an interaction between the number of traumatic events and Val(158)Met polymorphism of the gene coding for catecholamine-o-methyltransferase has also been found. The role of polymorphisms in FKBP5 (a co-chaperone of hsp 90 which binds to the glucocorticoid receptor) in predicting PTSD too, with a gene-by-environment point of view. These gene-by-environment studies are needed to focus more on distinct endophenotypes and influences from environmental factors. If several candidate genes are involved, a weighting of susceptibility to such and such a neurological regulation system will imply various endophenotypes. According to the monoamine predominantly incriminated, PTSD can take on a more hyper-vegetative clinical expression linked with noradrenergic overuse. Differently, avoidance behaviour and the depressive aspect invoke more a modification of the serotoninergic modulation whilst posttraumatic psychotic reactions question the role of dopaminergic pathways. Neuroscientific discoveries interesting the biological support of PTSD can thus modify our view of the conception of the disorder in relation to different therapeutic prospects.\nCONCLUSION: Chronic PTSD can manifest itself in different clinical forms. The repetition syndrome can appear a long time after the traumatic event, following a paucisymptomatic latency period, which can last several years or even decades. The absence of complaints from the patient is common, the latter suffering in silence. Often other comorbid disorders and other complaints arise sooner than the clinical picture. Thus a depressive episode characterised as drug-seeking behaviour is frequently encountered. The therapeutic accompaniment traditionally combines a pharmacological and a psychotherapeutic treatment even if recommendations are rare. A posttraumatic stress disorder is never just a coincidence. The different stages of the evolution and the establishment of a PTSD are the expression of an interaction between the outside and the inner self. Despite a known progression of the posttraumatic stress disorder, this deleterious evolution is far from being a foregone conclusion. On the contrary, several levels of prevention are possible at each stage of its structuration to propose treatments to subjects who are vulnerable and/or present symptoms. No neurobiological study has yet found a biological marker, which would apparently and inevitably destine a subject to structure, a posttraumatic stress disorder in reaction to a stress. Conversely, the psychopathological study finds afterwards that a particular subject has necessarily built a traumatic repetition syndrome according to the concordance of significant data relative to his/her history. The event strikes a repression or an anterior biographical deadlock and of which the thematic questions the fundamentals of human culture in its emancipation with nature, like the question of death and its consequences: bereavement, parentality, transgenerational transmission and organicity often linked to the illness. A therapeutic proposal constitutes an environmental factor par excellence which can be either protective or deleterious. If the traumatic repetition syndrome has been known since Antiquity, the birth of PTSD has followed the chronology of the DSM according to the sociopolitical contexts encountered. A PTSD does not occur by chance: the conditions of possibility of the trauma are established by genetic and psychological determinants interactively integrated at the heart of a social context. After the increase in a psychotraumatic interest in international publications since the 1980s, a fight against over-victimisation seems to be setting in. The advances in genetic and neuroimaging techniques are in the process of superseding psychometric studies in terms of reliability and validity; maybe we should see in this social evolution the changes of tomorrow concerning the clinical of PTSD and its treatment. The healing of the psycho-traumatised subject cannot just be established on the passive status of victim, which would be detrimental to reflection and ultimately reconstruction: the rebirth of the subject will require active commitment, which could distract from the deadly repetition. Whilst the confrontation with death resembled nonsense, the subject will question the psychotraumatic determinants of his/her life history to reinstate this tragic event within a search for meaning. Such restructuring is built on the intersubjectivity of the clinical relationship, which occurs within a social context. PTSD is a pathology which interacts with the societal context: on the one hand the trauma is established on the brutal reconsideration of social values which seem immutable and on the other hand, the clinical and nosographical concept of PTSD is changing with the evolution of society.","container-title":"L'Encephale","DOI":"10.1016/j.encep.2011.12.003","ISSN":"0013-7006","issue":"5","journalAbbreviation":"Encephale","language":"fre","note":"PMID: 23062450","page":"373-380","source":"PubMed","title":"[Posttraumatic stress disorder (PTSD) as a consequence of the interaction between an individual genetic susceptibility, a traumatogenic event and a social context]","volume":"38","author":[{"family":"Auxéméry","given":"Y."}],"issued":{"date-parts":[["2012",10]]}}},{"id":361,"uris":["http://zotero.org/users/local/wdQKiz3s/items/AXZ4EE3C"],"uri":["http://zotero.org/users/local/wdQKiz3s/items/AXZ4EE3C"],"itemData":{"id":361,"type":"article-journal","abstract":"PURPOSE OF REVIEW: We review recent and growing evidence that provides support for a novel parasomnia, trauma associated sleep disorder (TASD). Based on these findings, we further develop the clinical and polysomnographic (PSG) characteristics of TASD. We also address factors that precipitate TASD, develop a differential diagnosis, discuss therapy, and propose future directions for research.\nRECENT FINDINGS: Nightmares, classically a REM phenomenon, are prevalent and underreported, even in individuals with trauma exposure. When specifically queried, trauma-related nightmares (TRN) are frequently associated with disruptive nocturnal behaviors (DNB), consistent with TASD. Capture of DNB in the lab is rare but ambulatory monitoring reveals dynamic autonomic concomitants associated with disturbed dreaming. TRN may be reported in NREM as well as REM sleep, though associated respiratory events may confound this finding. Further, dream content is more distressing in REM. Therapy for this complex disorder likely requires addressing not only the specific TASD components of TRN and DNB but comorbid sleep disorders. TASD is a unique parasomnia developing after trauma. Trauma-exposed individuals should be specifically asked about their sleep and if they have nightmares with or without DNB. Patients who report TRN warrant in-lab PSG as part of their evaluation.","container-title":"Current Psychiatry Reports","DOI":"10.1007/s11920-019-1066-4","ISSN":"1535-1645","issue":"9","journalAbbreviation":"Curr Psychiatry Rep","language":"eng","note":"PMID: 31410580","page":"80","source":"PubMed","title":"Trauma Associated Sleep Disorder: Clinical Developments 5 Years After Discovery","title-short":"Trauma Associated Sleep Disorder","volume":"21","author":[{"family":"Brock","given":"Matthew S."},{"family":"Powell","given":"Tyler A."},{"family":"Creamer","given":"Jennifer L."},{"family":"Moore","given":"Brian A."},{"family":"Mysliwiec","given":"Vincent"}],"issued":{"date-parts":[["2019"]],"season":"13"}}}],"schema":"https://github.com/citation-style-language/schema/raw/master/csl-citation.json"} </w:instrText>
      </w:r>
      <w:r>
        <w:fldChar w:fldCharType="separate"/>
      </w:r>
      <w:r w:rsidRPr="002A6681">
        <w:t>(Ozer et al. 2003; Aguilera et al. 2009; Auxéméry 2012; Brock et al. 2019)</w:t>
      </w:r>
      <w:r>
        <w:fldChar w:fldCharType="end"/>
      </w:r>
      <w:r>
        <w:t>.</w:t>
      </w:r>
      <w:r w:rsidR="001679EA">
        <w:t xml:space="preserve"> </w:t>
      </w:r>
      <w:r w:rsidR="00C02C52">
        <w:t>During the</w:t>
      </w:r>
      <w:r w:rsidR="008F5147">
        <w:t xml:space="preserve"> </w:t>
      </w:r>
      <w:r w:rsidR="00B90EBB" w:rsidRPr="00B90EBB">
        <w:t xml:space="preserve">stressful </w:t>
      </w:r>
      <w:r w:rsidR="008F5147">
        <w:t>event</w:t>
      </w:r>
      <w:r w:rsidR="00B90EBB" w:rsidRPr="00B90EBB">
        <w:t xml:space="preserve">, </w:t>
      </w:r>
      <w:r w:rsidR="008F5147">
        <w:t>the body’s</w:t>
      </w:r>
      <w:r w:rsidR="00B90EBB" w:rsidRPr="00B90EBB">
        <w:t xml:space="preserve"> response is mediated by </w:t>
      </w:r>
      <w:r w:rsidR="00B90EBB" w:rsidRPr="006D5D65">
        <w:t>the sympathetic nervous system</w:t>
      </w:r>
      <w:r w:rsidR="0044013E">
        <w:t xml:space="preserve"> (</w:t>
      </w:r>
      <w:r w:rsidR="00907702">
        <w:t xml:space="preserve">Brock </w:t>
      </w:r>
      <w:r w:rsidR="0044013E">
        <w:t>et al. 20</w:t>
      </w:r>
      <w:r w:rsidR="00907702">
        <w:t>19</w:t>
      </w:r>
      <w:r w:rsidR="0044013E">
        <w:t>) and t</w:t>
      </w:r>
      <w:r w:rsidR="00B90EBB" w:rsidRPr="00B90EBB">
        <w:t>his response occurs almost immediately</w:t>
      </w:r>
      <w:r w:rsidR="0044013E">
        <w:t>.</w:t>
      </w:r>
      <w:r w:rsidR="00B90EBB" w:rsidRPr="00B90EBB">
        <w:t xml:space="preserve"> </w:t>
      </w:r>
      <w:r w:rsidR="000F2FC3">
        <w:t>T</w:t>
      </w:r>
      <w:r w:rsidR="00DE5894">
        <w:t xml:space="preserve">he HPA axis </w:t>
      </w:r>
      <w:r w:rsidR="00C800C2">
        <w:t>normally s</w:t>
      </w:r>
      <w:r w:rsidR="00DE5894">
        <w:t>erve</w:t>
      </w:r>
      <w:r w:rsidR="00C800C2">
        <w:t>s</w:t>
      </w:r>
      <w:r w:rsidR="00DE5894">
        <w:t xml:space="preserve"> as a beneficial cascade </w:t>
      </w:r>
      <w:r w:rsidR="00C800C2">
        <w:t>that presumably</w:t>
      </w:r>
      <w:r w:rsidR="00DE5894">
        <w:t xml:space="preserve"> helped humans survive </w:t>
      </w:r>
      <w:r w:rsidR="005E590C">
        <w:t xml:space="preserve">throughout evolutionary history </w:t>
      </w:r>
      <w:r w:rsidR="00907702">
        <w:t>(Ozer et al. 2003)</w:t>
      </w:r>
      <w:r w:rsidR="005D7955">
        <w:t xml:space="preserve"> with the final hormone released being cortisol</w:t>
      </w:r>
      <w:r w:rsidR="00907702">
        <w:t xml:space="preserve">. </w:t>
      </w:r>
      <w:r w:rsidR="00EF1DBA" w:rsidRPr="00EF1DBA">
        <w:t xml:space="preserve">While proper functioning of the HPA axis is essential for dealing with stress, </w:t>
      </w:r>
      <w:r w:rsidR="00956A06">
        <w:t>a dysfunctional</w:t>
      </w:r>
      <w:r w:rsidR="00EF1DBA" w:rsidRPr="00EF1DBA">
        <w:t xml:space="preserve"> HPA axis </w:t>
      </w:r>
      <w:r w:rsidR="00956A06">
        <w:t xml:space="preserve"> can lead to dysfunction of </w:t>
      </w:r>
      <w:r w:rsidR="00563884">
        <w:t>the immune system and cause chronic low-grade inflammation</w:t>
      </w:r>
      <w:r w:rsidR="003A178B">
        <w:t>, as will be detailed below</w:t>
      </w:r>
      <w:r w:rsidR="00563884">
        <w:t>.</w:t>
      </w:r>
    </w:p>
    <w:p w14:paraId="1C603A3F" w14:textId="12D77DF3" w:rsidR="007C0CC0" w:rsidRDefault="007C0CC0" w:rsidP="007A1D40">
      <w:pPr>
        <w:spacing w:line="480" w:lineRule="auto"/>
        <w:rPr>
          <w:i/>
          <w:iCs/>
        </w:rPr>
      </w:pPr>
    </w:p>
    <w:p w14:paraId="70078999" w14:textId="48920D66" w:rsidR="00A779F2" w:rsidRDefault="00A779F2" w:rsidP="007A1D40">
      <w:pPr>
        <w:spacing w:line="480" w:lineRule="auto"/>
        <w:rPr>
          <w:i/>
          <w:iCs/>
        </w:rPr>
      </w:pPr>
      <w:r>
        <w:rPr>
          <w:i/>
          <w:iCs/>
        </w:rPr>
        <w:t>Current Pharmacological Approaches to PTSD Treatment</w:t>
      </w:r>
    </w:p>
    <w:p w14:paraId="2618DE25" w14:textId="77777777" w:rsidR="00995370" w:rsidRPr="00A779F2" w:rsidRDefault="00995370" w:rsidP="007A1D40">
      <w:pPr>
        <w:spacing w:line="480" w:lineRule="auto"/>
        <w:rPr>
          <w:i/>
          <w:iCs/>
        </w:rPr>
      </w:pPr>
    </w:p>
    <w:p w14:paraId="28EE9A88" w14:textId="23489C09" w:rsidR="009A0E24" w:rsidRDefault="00884CB7" w:rsidP="007A1D40">
      <w:pPr>
        <w:spacing w:line="480" w:lineRule="auto"/>
      </w:pPr>
      <w:r>
        <w:t>Antidepressant se</w:t>
      </w:r>
      <w:r w:rsidR="00DF14AE">
        <w:t xml:space="preserve">lective </w:t>
      </w:r>
      <w:r w:rsidR="00AE542F">
        <w:t xml:space="preserve">serotonin reuptake inhibitors (SSRIs) such as </w:t>
      </w:r>
      <w:r w:rsidR="00AE542F" w:rsidRPr="00D10AB8">
        <w:t>paroxetine and sertraline</w:t>
      </w:r>
      <w:r w:rsidR="00AE542F">
        <w:t>, are</w:t>
      </w:r>
      <w:r w:rsidR="00AE542F" w:rsidRPr="00D10AB8">
        <w:t xml:space="preserve"> the only drugs approved by the Food and Drug Administration (FDA)</w:t>
      </w:r>
      <w:r w:rsidR="00AE542F">
        <w:t xml:space="preserve"> to treat PTSD</w:t>
      </w:r>
      <w:r w:rsidR="00AE542F" w:rsidRPr="001E66A5">
        <w:t>. Randomized controlled trials (RCTs) have demonstrated that paroxetine and sertraline improve</w:t>
      </w:r>
      <w:r w:rsidR="00AE542F">
        <w:t>d</w:t>
      </w:r>
      <w:r w:rsidR="00AE542F" w:rsidRPr="001E66A5">
        <w:t xml:space="preserve"> PTSD symptomatology </w:t>
      </w:r>
      <w:r w:rsidR="00DF14AE">
        <w:t>versus a</w:t>
      </w:r>
      <w:r w:rsidR="00AE542F" w:rsidRPr="001E66A5">
        <w:t xml:space="preserve"> placebo, and produce remission in about 30% of study participants</w:t>
      </w:r>
      <w:r w:rsidR="00AE542F">
        <w:t xml:space="preserve"> </w:t>
      </w:r>
      <w:r w:rsidR="00AE542F">
        <w:fldChar w:fldCharType="begin"/>
      </w:r>
      <w:r w:rsidR="00AE542F">
        <w:instrText xml:space="preserve"> ADDIN ZOTERO_ITEM CSL_CITATION {"citationID":"ofHXQzKm","properties":{"formattedCitation":"(Lee et al. 2016; Miller 2020)","plainCitation":"(Lee et al. 2016; Miller 2020)","noteIndex":0},"citationItems":[{"id":377,"uris":["http://zotero.org/users/local/wdQKiz3s/items/GMY42U7K"],"uri":["http://zotero.org/users/local/wdQKiz3s/items/GMY42U7K"],"itemData":{"id":377,"type":"article-journal","abstract":"Background Current clinical practice guidelines (CPGs) for posttraumatic stress disorder (PTSD) offer contradictory recommendations regarding use of medications or psychotherapy as first-line treatment. Direct head-to-head comparisons are lacking. Methods Systemic review of Medline, EMBASE, PILOTS, Cochrane Central Register of Controlled Trials, PsycINFO, and Global Health Library was conducted without language restrictions. Randomized clinical trials ≥8 weeks in duration using structured clinical interview-based outcome measures, active-control conditions (e.g. supportive psychotherapy), and intent-to-treat analysis were selected for analyses. Independent review, data abstraction, and bias assessment were performed using standardized processes. Study outcomes were grouped around conventional follow-up time periods (3, 6, and 9 months). Combined effect sizes were computed using meta-analyses for medication versus control, medication pre-/posttreatment, psychotherapy versus control, and psychotherapy pre-/posttreatment. Results Effect sizes for trauma-focused psychotherapies (TFPs) versus active control conditions were greater than medications versus placebo and other psychotherapies versus active controls. TFPs resulted in greater sustained benefit over time than medications. Sertraline, venlafaxine, and nefazodone outperformed other medications, although potential for methodological biases were high. Improvement following paroxetine and fluoxetine treatment was small. Venlafaxine and stress inoculation training (SIT) demonstrated large initial effects that decreased over time. Bupropion, citalopram, divalproex, mirtazapine, tiagabine, and topiramate failed to differentiate from placebo. Aripiprazole, divalproex, guanfacine, and olanzapine failed to differentiate from placebo when combined with an antidepressant. Conclusions Study findings support use of TFPs over nontrauma-focused psychotherapy or medication as first-line interventions. Second-line interventions include SIT, and potentially sertraline or venlafaxine, rather than entire classes of medication, such as SSRIs. Future revisions of CPGs should prioritize studies that utilize active controls over waitlist or treatment-as-usual conditions. Direct head-to-head trials of TFPs versus sertraline or venlafaxine are needed.","container-title":"Depression and Anxiety","DOI":"10.1002/da.22511","ISSN":"1520-6394","issue":"9","language":"en","note":"_eprint: https://onlinelibrary.wiley.com/doi/pdf/10.1002/da.22511","page":"792-806","source":"Wiley Online Library","title":"Psychotherapy Versus Pharmacotherapy for Posttraumatic Stress Disorder: Systemic Review and Meta-Analyses to Determine First-Line Treatments","title-short":"Psychotherapy Versus Pharmacotherapy for Posttraumatic Stress Disorder","volume":"33","author":[{"family":"Lee","given":"Daniel J."},{"family":"Schnitzlein","given":"Carla W."},{"family":"Wolf","given":"Jonathan P."},{"family":"Vythilingam","given":"Meena"},{"family":"Rasmusson","given":"Ann M."},{"family":"Hoge","given":"Charles W."}],"issued":{"date-parts":[["2016"]]}}},{"id":374,"uris":["http://zotero.org/users/local/wdQKiz3s/items/LW3U7S95"],"uri":["http://zotero.org/users/local/wdQKiz3s/items/LW3U7S95"],"itemData":{"id":374,"type":"article-journal","abstract":"Progress in PTSD pharmacotherapy has lagged far behind that of other major mental illnesses. Unfortunately, due to the enormous costs and lengthy process involved in bringing drugs to market, delivering new treatments to patients with PTSD in the near future will remain a challenge. However, by capitalizing on recent advances in the pharmacogenetics of antidepressants, precision psychiatry approaches can be leveraged to optimize the delivery of currently-available medications in a fraction of the time and cost required to develop novel therapeutics. This paper provides a review of the pharmacogenetics of the four serotonin reuptake inhibitors (SRIs) that are currently endorsed for the treatment of PTSD (paroxetine, sertraline, fluoxetine and venlafaxine). It focuses on genes involved in SRI pharmacokinetics (including the liver enzyme genes CYP2D6 and CYP2C19 and blood-brain barrier-relevant gene ABCB1) as well as those implicated in both SRI pharmacodynamics and the pathophysiology of PTSD and related conditions (e.g., BDNF, FKBP5, HTR1A, HTR2A, TPH2). The review concludes with an overview of emerging commercial platforms for pharmacogenetic-guided prescription and a discussion of challenges and directions for future pharmacogenetic research on PTSD.","collection-title":"Pharmacogenomics and Psychiatric Disease","container-title":"Neuroscience Letters","DOI":"10.1016/j.neulet.2018.04.039","ISSN":"0304-3940","journalAbbreviation":"Neuroscience Letters","language":"en","page":"133562","source":"ScienceDirect","title":"Leveraging genetics to enhance the efficacy of PTSD pharmacotherapies","volume":"726","author":[{"family":"Miller","given":"Mark W."}],"issued":{"date-parts":[["2020",5,1]]}}}],"schema":"https://github.com/citation-style-language/schema/raw/master/csl-citation.json"} </w:instrText>
      </w:r>
      <w:r w:rsidR="00AE542F">
        <w:fldChar w:fldCharType="separate"/>
      </w:r>
      <w:r w:rsidR="00AE542F">
        <w:rPr>
          <w:noProof/>
        </w:rPr>
        <w:t>(Lee et al. 2016; Miller 2020)</w:t>
      </w:r>
      <w:r w:rsidR="00AE542F">
        <w:fldChar w:fldCharType="end"/>
      </w:r>
      <w:r w:rsidR="00AE542F">
        <w:t xml:space="preserve">. </w:t>
      </w:r>
      <w:r w:rsidR="001B5238">
        <w:t>SSRI</w:t>
      </w:r>
      <w:r w:rsidR="003A178B">
        <w:t>s</w:t>
      </w:r>
      <w:r w:rsidR="001B5238">
        <w:t xml:space="preserve"> were designed to </w:t>
      </w:r>
      <w:r w:rsidR="00A373C1">
        <w:t>selectively block</w:t>
      </w:r>
      <w:r w:rsidR="00B769EC">
        <w:t xml:space="preserve"> post-synaptic</w:t>
      </w:r>
      <w:r w:rsidR="00A373C1">
        <w:t xml:space="preserve"> </w:t>
      </w:r>
      <w:r w:rsidR="00B769EC">
        <w:t>re</w:t>
      </w:r>
      <w:r w:rsidR="00A373C1">
        <w:t xml:space="preserve">uptake </w:t>
      </w:r>
      <w:r w:rsidR="002F3FEF">
        <w:t>transporters</w:t>
      </w:r>
      <w:r w:rsidR="00A373C1">
        <w:t xml:space="preserve"> for serotonin, th</w:t>
      </w:r>
      <w:r>
        <w:t>ereby</w:t>
      </w:r>
      <w:r w:rsidR="00A373C1">
        <w:t xml:space="preserve"> increasing </w:t>
      </w:r>
      <w:r w:rsidR="002F3FEF">
        <w:t xml:space="preserve">synaptic concentrations of </w:t>
      </w:r>
      <w:r w:rsidR="00A373C1">
        <w:t>serotonin</w:t>
      </w:r>
      <w:r w:rsidR="002807B2">
        <w:t xml:space="preserve"> </w:t>
      </w:r>
      <w:r w:rsidR="00AD0BC3">
        <w:t>and its continued reversible binding to receptors to elicit responses</w:t>
      </w:r>
      <w:r w:rsidR="00C85B1B">
        <w:t xml:space="preserve"> </w:t>
      </w:r>
      <w:r w:rsidR="002807B2">
        <w:fldChar w:fldCharType="begin"/>
      </w:r>
      <w:r w:rsidR="002F0FFE">
        <w:instrText xml:space="preserve"> ADDIN ZOTERO_ITEM CSL_CITATION {"citationID":"v4cSRx0x","properties":{"formattedCitation":"(Preskorn et al. 2004)","plainCitation":"(Preskorn et al. 2004)","noteIndex":0},"citationItems":[{"id":727,"uris":["http://zotero.org/users/local/wdQKiz3s/items/Z8SVGRE3"],"uri":["http://zotero.org/users/local/wdQKiz3s/items/Z8SVGRE3"],"itemData":{"id":727,"type":"chapter","abstract":"The selective serotonin reuptake inhibitors (SSRIs) (citalopram, escitalopram, fluoxetine, fluvoxamine, paroxetine, and sertraline) are the most widely prescribed class of antidepressants in the United States and a number of other countries. All the SSRIs except fluvoxamine have an indication for major depressive disorder (MDD) in the United States. The SSRIs were the first rationally developed class of psychiatric medications and thus share many similarities: equivalent acute and maintenance antidepressant efficacy, flat dose-response curve for antidepressant efficacy, ascending dose-response curve for adverse effects, adverse effect profile consistent with excessive serotonin agonism, 60%–80% inhibition of serotonin uptake at their lowest, usually effective antidepressant dose, and efficacy for both depressive and anxiety disorders. The SSRIs have good tolerability and do not cause severe side effects seen with certain other antidepressants (e.g., intracardiac conduction delays, seizures, postural hypotension). Because of their wide therapeutic index, the SSRIs have demonstrated good safety in overdose and there is no evidence of long-term safety problems. However, the different SSRIs do differ considerably in pharmacokinetics and effects on cytochrome P450 enzymes. Three of the SSRIs—fluoxetine, fluvoxamine, and paroxetine—inhibit one or more CYP enzymes to a substantial degree and have the potential to cause clinically meaningful drug-drug interactions. There is some debate about the efficacy of SSRIs in patients with more severe depression. If a patient has not been able to tolerate one SSRI, many clinicians will try a second SSRI; however, most psychiatrists prefer to switch to a drug with a different mechanism of action if a patient has had an inadequate response to an adequate trial of one SSRI, since there is no compelling evidence showing that nonresponders to one SSRI will respond to a trial of a different SSRI. All the SSRIs have a flat dose-response curve, so that there is usually no advantage in using doses above the usually effective minimum dose.","collection-title":"Handbook of Experimental Pharmacology","container-title":"Antidepressants: Past, Present and Future","event-place":"Berlin, Heidelberg","ISBN":"978-3-642-18500-7","language":"en","note":"DOI: 10.1007/978-3-642-18500-7_9","page":"241-262","publisher":"Springer","publisher-place":"Berlin, Heidelberg","source":"Springer Link","title":"Selective Serotonin Reuptake Inhibitors","URL":"https://doi.org/10.1007/978-3-642-18500-7_9","author":[{"family":"Preskorn","given":"S. H."},{"family":"Ross","given":"R."},{"family":"Stanga","given":"C. Y."}],"editor":[{"family":"Preskorn","given":"Sheldon H."},{"family":"Feighner","given":"John P."},{"family":"Stanga","given":"Christina Y."},{"family":"Ross","given":"Ruth"}],"accessed":{"date-parts":[["2021",2,3]]},"issued":{"date-parts":[["2004"]]}}}],"schema":"https://github.com/citation-style-language/schema/raw/master/csl-citation.json"} </w:instrText>
      </w:r>
      <w:r w:rsidR="002807B2">
        <w:fldChar w:fldCharType="separate"/>
      </w:r>
      <w:r w:rsidR="002F0FFE">
        <w:rPr>
          <w:noProof/>
        </w:rPr>
        <w:t>(Preskorn et al. 2004)</w:t>
      </w:r>
      <w:r w:rsidR="002807B2">
        <w:fldChar w:fldCharType="end"/>
      </w:r>
      <w:r w:rsidR="002F0FFE">
        <w:t>. Serotonin is a neurotransmitter</w:t>
      </w:r>
      <w:r w:rsidR="00F96D74">
        <w:t xml:space="preserve"> </w:t>
      </w:r>
      <w:r w:rsidR="003C0F39">
        <w:t xml:space="preserve">implicated in </w:t>
      </w:r>
      <w:r w:rsidR="007461D9">
        <w:t>appetite</w:t>
      </w:r>
      <w:r w:rsidR="00B14C75">
        <w:t>, e</w:t>
      </w:r>
      <w:r w:rsidR="00C67D75">
        <w:t>motion</w:t>
      </w:r>
      <w:r w:rsidR="00B14C75">
        <w:t xml:space="preserve"> control</w:t>
      </w:r>
      <w:r w:rsidR="00C67D75">
        <w:t>, motor reflexes, and autonomic functions.</w:t>
      </w:r>
      <w:r w:rsidR="00AE542F">
        <w:t xml:space="preserve"> SSRI</w:t>
      </w:r>
      <w:r w:rsidR="00DA41CC">
        <w:t xml:space="preserve">s </w:t>
      </w:r>
      <w:r w:rsidR="000E113C">
        <w:t>inhibit</w:t>
      </w:r>
      <w:r w:rsidR="00AE542F">
        <w:t xml:space="preserve"> the </w:t>
      </w:r>
      <w:r w:rsidR="00AE542F" w:rsidRPr="007E1701">
        <w:t>brain's noradrenergic pathways</w:t>
      </w:r>
      <w:r w:rsidR="00EE0C9E">
        <w:t xml:space="preserve"> </w:t>
      </w:r>
      <w:r w:rsidR="00E95FA3">
        <w:t xml:space="preserve">and </w:t>
      </w:r>
      <w:r w:rsidR="00CE506B">
        <w:t>can</w:t>
      </w:r>
      <w:r w:rsidR="00DF14AE">
        <w:t xml:space="preserve"> </w:t>
      </w:r>
      <w:r w:rsidR="000E113C">
        <w:t>reset</w:t>
      </w:r>
      <w:r w:rsidR="00DF14AE">
        <w:t xml:space="preserve"> an arousal</w:t>
      </w:r>
      <w:r w:rsidR="00AE542F">
        <w:t xml:space="preserve"> </w:t>
      </w:r>
      <w:r w:rsidR="00DF14AE">
        <w:t xml:space="preserve">state. </w:t>
      </w:r>
      <w:r w:rsidR="00167F56">
        <w:t xml:space="preserve">The </w:t>
      </w:r>
      <w:r w:rsidR="006A1D95">
        <w:t xml:space="preserve">noradrenergic pathway </w:t>
      </w:r>
      <w:r w:rsidR="00CD092D">
        <w:t xml:space="preserve">and the HPA axis </w:t>
      </w:r>
      <w:r w:rsidR="00E234BD">
        <w:t>are</w:t>
      </w:r>
      <w:r w:rsidR="00CD092D">
        <w:t xml:space="preserve"> linked </w:t>
      </w:r>
      <w:r w:rsidR="001D688F">
        <w:t xml:space="preserve">through </w:t>
      </w:r>
      <w:r w:rsidR="00E24B7E">
        <w:t xml:space="preserve">the release of </w:t>
      </w:r>
      <w:r w:rsidR="00E24B7E">
        <w:lastRenderedPageBreak/>
        <w:t xml:space="preserve">CRH </w:t>
      </w:r>
      <w:r w:rsidR="00E234BD">
        <w:t xml:space="preserve">in response to stressors </w:t>
      </w:r>
      <w:r w:rsidR="00E234BD">
        <w:fldChar w:fldCharType="begin"/>
      </w:r>
      <w:r w:rsidR="00EB74EE">
        <w:instrText xml:space="preserve"> ADDIN ZOTERO_ITEM CSL_CITATION {"citationID":"tT368j5q","properties":{"formattedCitation":"(Young et al. 2005)","plainCitation":"(Young et al. 2005)","noteIndex":0},"citationItems":[{"id":729,"uris":["http://zotero.org/users/local/wdQKiz3s/items/H37493UK"],"uri":["http://zotero.org/users/local/wdQKiz3s/items/H37493UK"],"itemData":{"id":729,"type":"article-journal","abstract":"Background\nNumerous interactions between the brainstem locus coeruleus system and the HPA axis have been shown in experimental animals. This relationship is less well characterized in humans and little is known about the influence of psychiatric disorders, which disturb one of these systems, on this relationship.\nMethods\nUntreated subjects with pure MDD (n=13), MDD with comorbid anxiety disorders (n=17), and pure anxiety disorders (n=15) were recruited by advertising. Age and sex matched control subjects were recruited for each subject with a psychiatric diagnosis (n=45). All subjects underwent a social stressor, the Trier Social Stress Test (TSST), and blood was collected for ACTH assay. These same subjects also underwent a clonidine challenge study for assessment of growth hormone release as a marker of tonic noradrenergic activation.\nResults\nExamining log transformed area under the curve response for each hormone, a significant negative relationship (simple regression) was observed between systems in normal subjects. This relationship was preserved in anxiety subjects. However, both pure depressed and comorbid depressed and anxiety subjects demonstrated disruption of this relationship.\nConclusions\nUnder normal circumstances, noradrenergic systems can influence the magnitude of the HPA axis response to stress. However, in subjects with major depression, HPA axis activation appears autonomous of noradrenergic influence.","container-title":"Psychoneuroendocrinology","DOI":"10.1016/j.psyneuen.2005.03.009","ISSN":"0306-4530","issue":"8","journalAbbreviation":"Psychoneuroendocrinology","language":"en","page":"807-814","source":"ScienceDirect","title":"Interaction of brain noradrenergic system and the hypothalamic–pituitary–adrenal (HPA) axis in man","volume":"30","author":[{"family":"Young","given":"Elizabeth A."},{"family":"Abelson","given":"James L."},{"family":"Cameron","given":"Oliver G."}],"issued":{"date-parts":[["2005",9,1]]}}}],"schema":"https://github.com/citation-style-language/schema/raw/master/csl-citation.json"} </w:instrText>
      </w:r>
      <w:r w:rsidR="00E234BD">
        <w:fldChar w:fldCharType="separate"/>
      </w:r>
      <w:r w:rsidR="00EB74EE">
        <w:rPr>
          <w:noProof/>
        </w:rPr>
        <w:t>(Young et al. 2005)</w:t>
      </w:r>
      <w:r w:rsidR="00E234BD">
        <w:fldChar w:fldCharType="end"/>
      </w:r>
      <w:r w:rsidR="00EB74EE">
        <w:t xml:space="preserve">. </w:t>
      </w:r>
      <w:r w:rsidR="00DF14AE">
        <w:t>This pathway is</w:t>
      </w:r>
      <w:r w:rsidR="00422E55">
        <w:t xml:space="preserve"> thought</w:t>
      </w:r>
      <w:r w:rsidR="00DF14AE">
        <w:t xml:space="preserve"> to </w:t>
      </w:r>
      <w:r w:rsidR="00422E55">
        <w:t>play a key role in</w:t>
      </w:r>
      <w:r w:rsidR="00AE542F">
        <w:t xml:space="preserve"> </w:t>
      </w:r>
      <w:r w:rsidR="00DF14AE">
        <w:t xml:space="preserve">anxiety </w:t>
      </w:r>
      <w:r w:rsidR="000E113C">
        <w:t xml:space="preserve">and fear-based </w:t>
      </w:r>
      <w:r w:rsidR="00AE542F">
        <w:t xml:space="preserve">pathophysiology </w:t>
      </w:r>
      <w:r w:rsidR="000E113C">
        <w:t>behind</w:t>
      </w:r>
      <w:r w:rsidR="00AE542F">
        <w:t xml:space="preserve"> PTSD </w:t>
      </w:r>
      <w:r w:rsidR="00AE542F">
        <w:fldChar w:fldCharType="begin"/>
      </w:r>
      <w:r w:rsidR="00AE542F">
        <w:instrText xml:space="preserve"> ADDIN ZOTERO_ITEM CSL_CITATION {"citationID":"Wesi2MrU","properties":{"formattedCitation":"(Davidson et al. 2006; Puetz et al. 2015; MacNamara et al. 2016; Lake et al. 2019)","plainCitation":"(Davidson et al. 2006; Puetz et al. 2015; MacNamara et al. 2016; Lake et al. 2019)","noteIndex":0},"citationItems":[{"id":380,"uris":["http://zotero.org/users/local/wdQKiz3s/items/IF7QYKFL"],"uri":["http://zotero.org/users/local/wdQKiz3s/items/IF7QYKFL"],"itemData":{"id":380,"type":"article-journal","abstract":"&lt;h3&gt;Context&lt;/h3&gt;&lt;p&gt;No large-scale posttraumatic stress disorder drug trials have been conducted to evaluate treatment effects beyond 12 weeks outside of those with selective serotonin reuptake inhibitors.&lt;/p&gt;&lt;h3&gt;Objective&lt;/h3&gt;&lt;p&gt;To evaluate the efficacy of venlafaxine extended release (ER), a serotonin norepinephrine reuptake inhibitor, in posttraumatic stress disorder.&lt;/p&gt;&lt;h3&gt;Design&lt;/h3&gt;&lt;p&gt;6-month, double-blind, placebo-controlled trial.&lt;/p&gt;&lt;h3&gt;Setting&lt;/h3&gt;&lt;p&gt;International study at 56 sites.&lt;/p&gt;&lt;h3&gt;Patients&lt;/h3&gt;&lt;p&gt;Adult outpatients (N = 329) with a primary diagnosis of posttraumatic stress disorder as defined in the&lt;i&gt;DSM-IV&lt;/i&gt;, symptoms for 6 months or longer, and a 17-item Clinician-Administered Posttraumatic Stress Disorder Scale score of 60 or higher.&lt;/p&gt;&lt;h3&gt;Intervention&lt;/h3&gt;&lt;p&gt;Patients randomly assigned to receive flexible doses of venlafaxine ER (37.5-300 mg/d) or placebo for 24 weeks.&lt;/p&gt;&lt;h3&gt;Main Outcome Measures&lt;/h3&gt;&lt;p&gt;Primary measure was the change from baseline in the Clinician-Administered Posttraumatic Stress Disorder Scale score. Secondary measures included remission, defined as a Clinician-Administered Posttraumatic Stress Disorder Scale score of 20 or lower, and changes in symptom cluster scores, frequency of remission, and time to remission. Measures of stress vulnerability, resilience, depression, quality of life, functioning, and global illness severity were also taken.&lt;/p&gt;&lt;h3&gt;Results&lt;/h3&gt;&lt;p&gt;Mean changes from baseline in Clinician-Administered Posttraumatic Stress Disorder Scale total scores at end point were −51.7 for venlafaxine ER and −43.9 for placebo (&lt;i&gt;P&lt;/i&gt; = .006). Improvement was significantly greater for the venlafaxine ER group than for the placebo group in cluster scores for reexperiencing (&lt;i&gt;P&lt;/i&gt; = .008) and avoidance/numbing (&lt;i&gt;P&lt;/i&gt; = .006), but not for hyperarousal. Remission rates were 50.9% for venlafaxine ER and 37.5% for placebo (&lt;i&gt;P&lt;/i&gt; = .01). The venlafaxine ER group also showed significantly greater improvement at end point than the placebo group (&lt;i&gt;P&lt;/i&gt;&amp;lt;.05) on all other reported outcome measures. The mean maximum daily dose of venlafaxine ER was 221.5 mg/d. Withdrawal rates were similar between groups with no significant difference in dropouts attributable to adverse events.&lt;/p&gt;&lt;h3&gt;Conclusion&lt;/h3&gt;&lt;p&gt;In this study, venlafaxine ER was effective and well tolerated in short-term and continuation treatment of patients with posttraumatic stress disorder.&lt;/p&gt;","container-title":"Archives of General Psychiatry","DOI":"10.1001/archpsyc.63.10.1158","ISSN":"0003-990X","issue":"10","journalAbbreviation":"Arch Gen Psychiatry","language":"en","note":"publisher: American Medical Association","page":"1158-1165","source":"jamanetwork-com.colorado.idm.oclc.org","title":"Treatment of Posttraumatic Stress Disorder With Venlafaxine Extended Release: A 6-Month Randomized Controlled Trial","title-short":"Treatment of Posttraumatic Stress Disorder With Venlafaxine Extended Release","volume":"63","author":[{"family":"Davidson","given":"Jonathan"},{"family":"Baldwin","given":"David"},{"family":"Stein","given":"Dan J."},{"family":"Kuper","given":"Enrique"},{"family":"Benattia","given":"Isma"},{"family":"Ahmed","given":"Saeed"},{"family":"Pedersen","given":"Ron"},{"family":"Musgnung","given":"Jeff"}],"issued":{"date-parts":[["2006",10,1]]}}},{"id":392,"uris":["http://zotero.org/users/local/wdQKiz3s/items/WYCM3EB7"],"uri":["http://zotero.org/users/local/wdQKiz3s/items/WYCM3EB7"],"itemData":{"id":392,"type":"article-journal","abstract":"The efficacy of pharmacotherapy for PTSD, anxiety, and depression among combat veterans is not well-established. Objectives To estimate the effect of pharmacotherapy on PTSD, anxiety, and depression among combat veterans; to determine whether the effects varied according to patient and intervention characteristics; and to examine differential effects of pharmacotherapy on outcomes. Materials and Methods Google Scholar, PILOTS, PsycINFO, PubMed, and Web of Science databases were searched through November 2014. Searches resulted in eighteen double-blind, placebo controlled trials of 773 combat veterans diagnosed with PTSD and included only validated pre- and post-intervention PTSD and anxiety or depression measures. Authors extracted data on effect sizes, moderators, and study quality. Hedges’ d effect sizes were computed and random effects models estimated sampling error and population variance. The Johnson-Neyman procedure identified the critical points in significant interactions to define regions of significance. Results Pharmacotherapy significantly reduced (Δ, 95%CI) PTSD (0.38, 0.23-0.52), anxiety (0.42, 0.30-0.54), and depressive symptoms (0.52, 0.35-0.70). The effects of SSRIs and tricyclic antidepressants on PTSD were greater than other medications independent of treatment duration. The effect of SSRIs and tricyclic antidepressants were greater than other medications up to 5.2 and 13.6 weeks for anxiety and depression, respectively. The magnitude of the effect of pharmacotherapy on concurrently-measured PTSD, anxiety, and depression did not significantly differ. Conclusions Pharmacotherapy reduced PTSD, anxiety, and depressive symptoms in combat veterans. The effects of SSRIs and tricyclic antidepressants were greater for PTSD and occurred quicker for anxiety and depression than other medications.","container-title":"PLOS ONE","DOI":"10.1371/journal.pone.0126529","ISSN":"1932-6203","issue":"5","journalAbbreviation":"PLOS ONE","language":"en","note":"publisher: Public Library of Science","page":"e0126529","source":"PLoS Journals","title":"Effects of Pharmacotherapy on Combat-Related PTSD, Anxiety, and Depression: A Systematic Review and Meta-Regression Analysis","title-short":"Effects of Pharmacotherapy on Combat-Related PTSD, Anxiety, and Depression","volume":"10","author":[{"family":"Puetz","given":"Timothy W."},{"family":"Youngstedt","given":"Shawn D."},{"family":"Herring","given":"Matthew P."}],"issued":{"date-parts":[["2015",5,28]]}}},{"id":383,"uris":["http://zotero.org/users/local/wdQKiz3s/items/IKE8GWWE"],"uri":["http://zotero.org/users/local/wdQKiz3s/items/IKE8GWWE"],"itemData":{"id":383,"type":"article-journal","abstract":"Posttraumatic stress disorder (PTSD)—a chronic, debilitating condition, broadly characterized by emotion dysregulation—is prevalent among US military personnel who have returned from Operations Enduring Freedom (OEF) and Iraqi Freedom (OIF). Selective serotonin reuptake inhibitors (SSRIs) are a first-line treatment for PTSD, but treatment mechanisms are unknown and patient response varies. SSRIs may exert their effects by remediating emotion regulatory brain activity and individual differences in patient response might be explained, in part, by pre-treatment differences in neural systems supporting the downregulation of negative affect. Thirty-four OEF/OIF veterans, 17 with PTSD and 17 without PTSD underwent 2 functional magnetic resonance imaging scans 12 weeks apart. At each scan, they performed an emotion regulation task; in the interim, veterans with PTSD were treated with the SSRI, paroxetine. SSRI treatment increased activation in both the left dorsolateral prefrontal cortex (PFC) and supplementary motor area (SMA) during emotion regulation, although only change in the SMA over time occurred in veterans with PTSD and not those without PTSD. Less activation of the right ventrolateral PFC/inferior frontal gyrus during pre-treatment emotion regulation was associated with greater reduction in PTSD symptoms with SSRI treatment, irrespective of pre-treatment severity. Patients with the least recruitment of prefrontal emotion regulatory brain regions may benefit most from treatment with SSRIs, which appear to augment activity in these regions.","container-title":"Neuropsychopharmacology","DOI":"10.1038/npp.2015.190","ISSN":"1740-634X","issue":"2","language":"en","note":"number: 2\npublisher: Nature Publishing Group","page":"611-618","source":"www-nature-com.colorado.idm.oclc.org","title":"Emotion Regulatory Brain Function and SSRI Treatment in PTSD: Neural Correlates and Predictors of Change","title-short":"Emotion Regulatory Brain Function and SSRI Treatment in PTSD","volume":"41","author":[{"family":"MacNamara","given":"Annmarie"},{"family":"Rabinak","given":"Christine A."},{"family":"Kennedy","given":"Amy E."},{"family":"Fitzgerald","given":"Daniel A."},{"family":"Liberzon","given":"Israel"},{"family":"Stein","given":"Murray B."},{"family":"Phan","given":"K. Luan"}],"issued":{"date-parts":[["2016",1]]}}},{"id":395,"uris":["http://zotero.org/users/local/wdQKiz3s/items/IC3MIJ5V"],"uri":["http://zotero.org/users/local/wdQKiz3s/items/IC3MIJ5V"],"itemData":{"id":395,"type":"article-journal","abstract":"Background and Objectives The core pharmacological treatment of Post-Traumatic Stress Disorder (PTSD) is selective serotonin reuptake inhibitors (SSRIs), although remission is only around 30% with them. Many patients will self-treat with opioids and due to the opiate system involvement in dysphoric mood and anxiety/stress responses, it is likely that antagonism of the kappa opioid receptor (KOR) system represents a potential target for treatment of PTSD. The aim of this study is to compare response of PTSD symptoms when antagonizing KOR via buprenorphine/naloxone compared to SSRIs or opioid therapy. Methods A retrospective chart review of patients in the MEDVAMC between June 1, 2010 and June 30, 2016 was conducted. Inclusion criteria included patients with a documented diagnosis of PTSD with at least two documented PTSD scores (either PCLC or PC-PTSD). Exclusion criteria included patients not prescribed one of the study medications (ie, buprenorphine, SSRI, or opiate for chronic pain), and patients not on the study medication for at least 30 days. Results Buprenorphine patients exhibited the lowest final average PTSD score (2.47) and the largest change from baseline (−24.0%) compared to opioids (−16.1%) or SSRIs (1.16%). The average buprenorphine dose was 23.3 mg/day, and the average length of therapy was 860 days. Conclusions Buprenorphine may help decrease PTSD symptoms more than SSRIs or opioids alone. Prospective studies are needed to determine whether these effects are reproducible. Scientific Significance Pharmacotherapy advancements in PTSD treatment have been limited and the kappa opioid receptor system presents a new target that warrants further research. (Am J Addict 2019;XX:1–6)","container-title":"The American Journal on Addictions","DOI":"10.1111/ajad.12860","ISSN":"1521-0391","issue":"2","language":"en","note":"_eprint: https://onlinelibrary.wiley.com/doi/pdf/10.1111/ajad.12860","page":"86-91","source":"Wiley Online Library","title":"Buprenorphine for the treatment of posttraumatic stress disorder","volume":"28","author":[{"family":"Lake","given":"Elizabeth P."},{"family":"Mitchell","given":"Brian G."},{"family":"Shorter","given":"Darryl I."},{"family":"Kosten","given":"Thomas"},{"family":"Domingo","given":"Coreen B."},{"family":"Walder","given":"Annette M."}],"issued":{"date-parts":[["2019"]]}}}],"schema":"https://github.com/citation-style-language/schema/raw/master/csl-citation.json"} </w:instrText>
      </w:r>
      <w:r w:rsidR="00AE542F">
        <w:fldChar w:fldCharType="separate"/>
      </w:r>
      <w:r w:rsidR="00AE542F">
        <w:rPr>
          <w:noProof/>
        </w:rPr>
        <w:t>(Davidson et al. 2006; Puetz et al. 2015; MacNamara et al. 2016; Lake et al. 2019)</w:t>
      </w:r>
      <w:r w:rsidR="00AE542F">
        <w:fldChar w:fldCharType="end"/>
      </w:r>
      <w:r w:rsidR="00AE542F">
        <w:t xml:space="preserve">. </w:t>
      </w:r>
      <w:r w:rsidR="000E113C">
        <w:t>Con</w:t>
      </w:r>
      <w:r w:rsidR="009278D8">
        <w:t xml:space="preserve">tinuous </w:t>
      </w:r>
      <w:r w:rsidR="002232EB">
        <w:t xml:space="preserve">reuptake </w:t>
      </w:r>
      <w:r w:rsidR="000E113C">
        <w:t>of</w:t>
      </w:r>
      <w:r w:rsidR="002232EB">
        <w:t xml:space="preserve"> serotonin in</w:t>
      </w:r>
      <w:r w:rsidR="000E113C">
        <w:t xml:space="preserve"> the </w:t>
      </w:r>
      <w:r w:rsidR="009300AD">
        <w:t>nora</w:t>
      </w:r>
      <w:r w:rsidR="00BB4A16">
        <w:t>drenergic</w:t>
      </w:r>
      <w:r w:rsidR="00AE542F">
        <w:t xml:space="preserve"> pathway </w:t>
      </w:r>
      <w:r w:rsidR="002063E4">
        <w:t xml:space="preserve">during PTSD </w:t>
      </w:r>
      <w:r w:rsidR="000E113C">
        <w:t xml:space="preserve">causes </w:t>
      </w:r>
      <w:r w:rsidR="00AE542F">
        <w:t xml:space="preserve">symptoms such as </w:t>
      </w:r>
      <w:r w:rsidR="00AE542F" w:rsidRPr="007E1701">
        <w:t>hypervigilance and hyperarousal</w:t>
      </w:r>
      <w:r w:rsidR="009566A2">
        <w:t xml:space="preserve"> because the brain is deceived </w:t>
      </w:r>
      <w:r w:rsidR="0046321F">
        <w:t xml:space="preserve">to </w:t>
      </w:r>
      <w:r w:rsidR="001158B3">
        <w:t>respond to</w:t>
      </w:r>
      <w:r w:rsidR="0046321F">
        <w:t xml:space="preserve"> “non-existent” pain-stimuli. </w:t>
      </w:r>
      <w:r w:rsidR="001F7BA1">
        <w:t xml:space="preserve">SSRIs have shown efficacy in this </w:t>
      </w:r>
      <w:r w:rsidR="00A358E0">
        <w:t xml:space="preserve">context because </w:t>
      </w:r>
      <w:r w:rsidR="00BE08F0">
        <w:t>they increase synaptic</w:t>
      </w:r>
      <w:r w:rsidR="00117658">
        <w:t xml:space="preserve"> </w:t>
      </w:r>
      <w:r w:rsidR="00A358E0">
        <w:t xml:space="preserve">serotonin </w:t>
      </w:r>
      <w:r w:rsidR="0030734C">
        <w:t>concentrations</w:t>
      </w:r>
      <w:r w:rsidR="00F61E0E">
        <w:t>, which function</w:t>
      </w:r>
      <w:r w:rsidR="0030734C">
        <w:t xml:space="preserve"> </w:t>
      </w:r>
      <w:r w:rsidR="002C5A16">
        <w:t xml:space="preserve">as the reset button </w:t>
      </w:r>
      <w:r w:rsidR="0096775D">
        <w:t>to the noradren</w:t>
      </w:r>
      <w:r w:rsidR="001D1C0B">
        <w:t>erg</w:t>
      </w:r>
      <w:r w:rsidR="0096775D">
        <w:t xml:space="preserve">ic </w:t>
      </w:r>
      <w:r w:rsidR="001D1C0B">
        <w:t xml:space="preserve">pathway and </w:t>
      </w:r>
      <w:r w:rsidR="00054273">
        <w:t>puts the brain in a</w:t>
      </w:r>
      <w:r w:rsidR="00B2500F">
        <w:t xml:space="preserve"> less-vigilant state.</w:t>
      </w:r>
    </w:p>
    <w:p w14:paraId="433178A4" w14:textId="77777777" w:rsidR="00833BAB" w:rsidRDefault="00833BAB" w:rsidP="007A1D40">
      <w:pPr>
        <w:spacing w:line="480" w:lineRule="auto"/>
      </w:pPr>
    </w:p>
    <w:p w14:paraId="22077B93" w14:textId="2F88AF88" w:rsidR="00AE542F" w:rsidRDefault="00A54AB0" w:rsidP="007A1D40">
      <w:pPr>
        <w:spacing w:line="480" w:lineRule="auto"/>
      </w:pPr>
      <w:r>
        <w:t xml:space="preserve">PTSD </w:t>
      </w:r>
      <w:r w:rsidR="00212B21">
        <w:t>also involves</w:t>
      </w:r>
      <w:r w:rsidR="00F955E2">
        <w:t xml:space="preserve"> </w:t>
      </w:r>
      <w:r w:rsidR="00AE542F">
        <w:t xml:space="preserve">imbalances in brain </w:t>
      </w:r>
      <w:r w:rsidR="00212B21">
        <w:t>electro</w:t>
      </w:r>
      <w:r w:rsidR="00AE542F">
        <w:t>chemistry</w:t>
      </w:r>
      <w:r w:rsidR="004C11AD">
        <w:t xml:space="preserve"> associated with</w:t>
      </w:r>
      <w:r w:rsidR="00F955E2">
        <w:t xml:space="preserve"> the </w:t>
      </w:r>
      <w:r w:rsidR="00AE542F">
        <w:t>ATP</w:t>
      </w:r>
      <w:r w:rsidR="00565137">
        <w:t>-driven</w:t>
      </w:r>
      <w:r w:rsidR="00AE542F" w:rsidRPr="007E1701">
        <w:t xml:space="preserve"> Na</w:t>
      </w:r>
      <w:r w:rsidR="00AE542F" w:rsidRPr="007E1701">
        <w:rPr>
          <w:vertAlign w:val="superscript"/>
        </w:rPr>
        <w:t>+</w:t>
      </w:r>
      <w:r w:rsidR="00AE542F" w:rsidRPr="007E1701">
        <w:t>/K</w:t>
      </w:r>
      <w:r w:rsidR="00AE542F" w:rsidRPr="007E1701">
        <w:rPr>
          <w:vertAlign w:val="superscript"/>
        </w:rPr>
        <w:t>+</w:t>
      </w:r>
      <w:r w:rsidR="00AE542F" w:rsidRPr="007E1701">
        <w:t xml:space="preserve"> pump</w:t>
      </w:r>
      <w:r w:rsidR="00F21773">
        <w:t xml:space="preserve"> </w:t>
      </w:r>
      <w:r w:rsidR="00AE542F">
        <w:fldChar w:fldCharType="begin"/>
      </w:r>
      <w:r w:rsidR="00AE542F">
        <w:instrText xml:space="preserve"> ADDIN ZOTERO_ITEM CSL_CITATION {"citationID":"YBhaaomE","properties":{"formattedCitation":"(MacNamara et al. 2016)","plainCitation":"(MacNamara et al. 2016)","noteIndex":0},"citationItems":[{"id":383,"uris":["http://zotero.org/users/local/wdQKiz3s/items/IKE8GWWE"],"uri":["http://zotero.org/users/local/wdQKiz3s/items/IKE8GWWE"],"itemData":{"id":383,"type":"article-journal","abstract":"Posttraumatic stress disorder (PTSD)—a chronic, debilitating condition, broadly characterized by emotion dysregulation—is prevalent among US military personnel who have returned from Operations Enduring Freedom (OEF) and Iraqi Freedom (OIF). Selective serotonin reuptake inhibitors (SSRIs) are a first-line treatment for PTSD, but treatment mechanisms are unknown and patient response varies. SSRIs may exert their effects by remediating emotion regulatory brain activity and individual differences in patient response might be explained, in part, by pre-treatment differences in neural systems supporting the downregulation of negative affect. Thirty-four OEF/OIF veterans, 17 with PTSD and 17 without PTSD underwent 2 functional magnetic resonance imaging scans 12 weeks apart. At each scan, they performed an emotion regulation task; in the interim, veterans with PTSD were treated with the SSRI, paroxetine. SSRI treatment increased activation in both the left dorsolateral prefrontal cortex (PFC) and supplementary motor area (SMA) during emotion regulation, although only change in the SMA over time occurred in veterans with PTSD and not those without PTSD. Less activation of the right ventrolateral PFC/inferior frontal gyrus during pre-treatment emotion regulation was associated with greater reduction in PTSD symptoms with SSRI treatment, irrespective of pre-treatment severity. Patients with the least recruitment of prefrontal emotion regulatory brain regions may benefit most from treatment with SSRIs, which appear to augment activity in these regions.","container-title":"Neuropsychopharmacology","DOI":"10.1038/npp.2015.190","ISSN":"1740-634X","issue":"2","language":"en","note":"number: 2\npublisher: Nature Publishing Group","page":"611-618","source":"www-nature-com.colorado.idm.oclc.org","title":"Emotion Regulatory Brain Function and SSRI Treatment in PTSD: Neural Correlates and Predictors of Change","title-short":"Emotion Regulatory Brain Function and SSRI Treatment in PTSD","volume":"41","author":[{"family":"MacNamara","given":"Annmarie"},{"family":"Rabinak","given":"Christine A."},{"family":"Kennedy","given":"Amy E."},{"family":"Fitzgerald","given":"Daniel A."},{"family":"Liberzon","given":"Israel"},{"family":"Stein","given":"Murray B."},{"family":"Phan","given":"K. Luan"}],"issued":{"date-parts":[["2016",1]]}}}],"schema":"https://github.com/citation-style-language/schema/raw/master/csl-citation.json"} </w:instrText>
      </w:r>
      <w:r w:rsidR="00AE542F">
        <w:fldChar w:fldCharType="separate"/>
      </w:r>
      <w:r w:rsidR="00AE542F">
        <w:rPr>
          <w:noProof/>
        </w:rPr>
        <w:t>(MacNamara et al. 2016)</w:t>
      </w:r>
      <w:r w:rsidR="00AE542F">
        <w:fldChar w:fldCharType="end"/>
      </w:r>
      <w:r w:rsidR="00AE542F">
        <w:t xml:space="preserve">. </w:t>
      </w:r>
      <w:r w:rsidR="00647EA6">
        <w:t>Th</w:t>
      </w:r>
      <w:r w:rsidR="00FD7A88">
        <w:t>e</w:t>
      </w:r>
      <w:r w:rsidR="00647EA6">
        <w:t xml:space="preserve"> </w:t>
      </w:r>
      <w:r w:rsidR="00647EA6" w:rsidRPr="007E1701">
        <w:t>Na</w:t>
      </w:r>
      <w:r w:rsidR="00647EA6" w:rsidRPr="007E1701">
        <w:rPr>
          <w:vertAlign w:val="superscript"/>
        </w:rPr>
        <w:t>+</w:t>
      </w:r>
      <w:r w:rsidR="00647EA6" w:rsidRPr="007E1701">
        <w:t>/K</w:t>
      </w:r>
      <w:r w:rsidR="00647EA6" w:rsidRPr="007E1701">
        <w:rPr>
          <w:vertAlign w:val="superscript"/>
        </w:rPr>
        <w:t>+</w:t>
      </w:r>
      <w:r w:rsidR="00647EA6" w:rsidRPr="007E1701">
        <w:t xml:space="preserve"> pump</w:t>
      </w:r>
      <w:r w:rsidR="00647EA6">
        <w:t xml:space="preserve"> create</w:t>
      </w:r>
      <w:r w:rsidR="00EB75DA">
        <w:t xml:space="preserve">s </w:t>
      </w:r>
      <w:r w:rsidR="00647EA6">
        <w:t xml:space="preserve">the </w:t>
      </w:r>
      <w:r w:rsidR="00EB75DA">
        <w:t xml:space="preserve">electrochemical gradient needed to produce </w:t>
      </w:r>
      <w:r w:rsidR="00647EA6">
        <w:t xml:space="preserve">electrical impulses </w:t>
      </w:r>
      <w:r w:rsidR="004C11AD">
        <w:t>in response</w:t>
      </w:r>
      <w:r w:rsidR="00647EA6">
        <w:t xml:space="preserve"> to the stressful stimuli</w:t>
      </w:r>
      <w:r w:rsidR="00F21773">
        <w:t>. This pump also provides a connection to the diet;</w:t>
      </w:r>
      <w:r w:rsidR="00647EA6">
        <w:t xml:space="preserve"> sufficient quantities of </w:t>
      </w:r>
      <w:r w:rsidR="00163B03">
        <w:t xml:space="preserve">dietary </w:t>
      </w:r>
      <w:r w:rsidR="00647EA6">
        <w:t>polyunsaturated</w:t>
      </w:r>
      <w:r w:rsidR="00DC0CA0">
        <w:t xml:space="preserve"> omega-3</w:t>
      </w:r>
      <w:r w:rsidR="00647EA6">
        <w:t xml:space="preserve"> fatty acids like </w:t>
      </w:r>
      <w:r w:rsidR="00DC0CA0">
        <w:t>d</w:t>
      </w:r>
      <w:r w:rsidR="00E93599">
        <w:t xml:space="preserve">ocosahexaenoic </w:t>
      </w:r>
      <w:r w:rsidR="00DC0CA0">
        <w:t>a</w:t>
      </w:r>
      <w:r w:rsidR="00CB4BA8">
        <w:t xml:space="preserve">cid </w:t>
      </w:r>
      <w:r w:rsidR="00163B03">
        <w:t>(</w:t>
      </w:r>
      <w:r w:rsidR="00647EA6">
        <w:t>DHA</w:t>
      </w:r>
      <w:r w:rsidR="00163B03">
        <w:t>)</w:t>
      </w:r>
      <w:r w:rsidR="00CB4BA8">
        <w:t xml:space="preserve"> </w:t>
      </w:r>
      <w:r w:rsidR="00DC0CA0">
        <w:t>are needed</w:t>
      </w:r>
      <w:r w:rsidR="00AD4B2B">
        <w:t xml:space="preserve"> to support </w:t>
      </w:r>
      <w:r w:rsidR="00CB4BA8">
        <w:t xml:space="preserve">the </w:t>
      </w:r>
      <w:r w:rsidR="00647EA6" w:rsidRPr="007E1701">
        <w:t>Na</w:t>
      </w:r>
      <w:r w:rsidR="00647EA6" w:rsidRPr="007E1701">
        <w:rPr>
          <w:vertAlign w:val="superscript"/>
        </w:rPr>
        <w:t>+</w:t>
      </w:r>
      <w:r w:rsidR="00647EA6" w:rsidRPr="007E1701">
        <w:t>/K</w:t>
      </w:r>
      <w:r w:rsidR="00647EA6" w:rsidRPr="007E1701">
        <w:rPr>
          <w:vertAlign w:val="superscript"/>
        </w:rPr>
        <w:t>+</w:t>
      </w:r>
      <w:r w:rsidR="00647EA6" w:rsidRPr="007E1701">
        <w:t xml:space="preserve"> pump</w:t>
      </w:r>
      <w:r w:rsidR="00647EA6">
        <w:t xml:space="preserve"> </w:t>
      </w:r>
      <w:r w:rsidR="00570CCC">
        <w:t xml:space="preserve">and </w:t>
      </w:r>
      <w:r w:rsidR="001604CE">
        <w:t xml:space="preserve">thus </w:t>
      </w:r>
      <w:r w:rsidR="00647EA6">
        <w:t>neuron</w:t>
      </w:r>
      <w:r w:rsidR="001604CE">
        <w:t>al</w:t>
      </w:r>
      <w:r w:rsidR="00647EA6">
        <w:t xml:space="preserve"> function </w:t>
      </w:r>
      <w:r w:rsidR="00647EA6">
        <w:fldChar w:fldCharType="begin"/>
      </w:r>
      <w:r w:rsidR="00647EA6">
        <w:instrText xml:space="preserve"> ADDIN ZOTERO_ITEM CSL_CITATION {"citationID":"Sz2NbPnV","properties":{"formattedCitation":"(Adams et al. 2016)","plainCitation":"(Adams et al. 2016)","noteIndex":0},"citationItems":[{"id":671,"uris":["http://zotero.org/users/local/wdQKiz3s/items/9J6KQ3CU"],"uri":["http://zotero.org/users/local/wdQKiz3s/items/9J6KQ3CU"],"itemData":{"id":671,"type":"article-journal","abstract":"We connect modern, intensive agriculture’s role in environmental degradation to its role in producing nutritionally unbalanced foods, and delineate specific approaches to reduce agriculture’s environmental impact, while producing healthful foods. We call attention to recently discovered genetic programs used by all living organisms to respond to their environment, and present a model of how these programs change body composition and function (of humans and their crop plants and livestock alike) in response to environmental cues. We propose that production of nutritionally balanced crops and livestock requires careful consideration of how these plants and animals are grown; the composition of plant food is modulated by growing conditions, body composition of livestock reflects their feed; composition and function of human body and brain are strongly affected by how food plants and animals are produced. We selected four nutritional features not only involved in (i) governing human health by modulating these genetic programs, but (ii) also affected by agricultural practices. These nutritional features are fat composition (especially saturated fat and the ratio of polyunsaturated omega-6 oils to omega-3 oils), carbohydrate composition (especially the proportion of carbohydrates with a high glycemic index, such as sugars and quick-burning starches) and the level of antioxidant micronutrients. We not only outline threats to human health presented by the current environment, but also potential gains in quality-of-life in a future environment designed to optimize human wellness using insights into the gene-programming effect of diet- and other lifestyle-related factors. These gains could extend beyond optimal human physical and mental health to gains in workforce productivity. The same changes in agricultural practices required to achieve these gains in human health are also needed to support environmental health and sustainable food production. The resulting vision of optimal human health and environmental health, supported by sustainable practices, is intended as an inspiring image of what sustainability has to offer to individuals and society. Our goal is to provide a transparent overview and illustrations intelligible not only to non-experts in each of the other respective areas involved but also to policy makers and the public.","container-title":"Frontiers in Nutrition","DOI":"10.3389/fnut.2016.00028","ISSN":"2296-861X","journalAbbreviation":"Front. Nutr.","language":"English","note":"publisher: Frontiers","source":"Frontiers","title":"Nutritional Cues Tie Living Organisms to Their Environment and Its Sustainability","URL":"https://www.frontiersin.org/articles/10.3389/fnut.2016.00028/full","volume":"3","author":[{"family":"Adams","given":"Melanie S."},{"family":"Adams","given":"Robert B."},{"family":"Wessman","given":"Carol A."},{"family":"Demmig-Adams","given":"Barbara"}],"accessed":{"date-parts":[["2021",1,13]]},"issued":{"date-parts":[["2016"]]}}}],"schema":"https://github.com/citation-style-language/schema/raw/master/csl-citation.json"} </w:instrText>
      </w:r>
      <w:r w:rsidR="00647EA6">
        <w:fldChar w:fldCharType="separate"/>
      </w:r>
      <w:r w:rsidR="00647EA6">
        <w:rPr>
          <w:noProof/>
        </w:rPr>
        <w:t>(Adams et al. 2016</w:t>
      </w:r>
      <w:r w:rsidR="00DE2054">
        <w:rPr>
          <w:noProof/>
        </w:rPr>
        <w:t>; see</w:t>
      </w:r>
      <w:r w:rsidR="002975B4">
        <w:rPr>
          <w:noProof/>
        </w:rPr>
        <w:t xml:space="preserve"> also </w:t>
      </w:r>
      <w:r w:rsidR="00576D7A">
        <w:rPr>
          <w:noProof/>
        </w:rPr>
        <w:t>Fig.</w:t>
      </w:r>
      <w:r w:rsidR="00C11B04">
        <w:rPr>
          <w:noProof/>
        </w:rPr>
        <w:t xml:space="preserve"> </w:t>
      </w:r>
      <w:r w:rsidR="00027C5C">
        <w:rPr>
          <w:noProof/>
        </w:rPr>
        <w:t>2</w:t>
      </w:r>
      <w:r w:rsidR="00576D7A">
        <w:rPr>
          <w:noProof/>
        </w:rPr>
        <w:t xml:space="preserve"> below in the section on diet</w:t>
      </w:r>
      <w:r w:rsidR="00647EA6">
        <w:rPr>
          <w:noProof/>
        </w:rPr>
        <w:t>)</w:t>
      </w:r>
      <w:r w:rsidR="00647EA6">
        <w:fldChar w:fldCharType="end"/>
      </w:r>
      <w:r w:rsidR="00647EA6">
        <w:t xml:space="preserve">. </w:t>
      </w:r>
      <w:r w:rsidR="004C11AD">
        <w:t>E</w:t>
      </w:r>
      <w:r w:rsidR="00AE542F">
        <w:t xml:space="preserve">lectrical </w:t>
      </w:r>
      <w:r w:rsidR="00A27593">
        <w:t>imbalances are</w:t>
      </w:r>
      <w:r w:rsidR="00AE542F">
        <w:t xml:space="preserve"> </w:t>
      </w:r>
      <w:r w:rsidR="0003695B">
        <w:t>thought</w:t>
      </w:r>
      <w:r w:rsidR="00AE542F">
        <w:t xml:space="preserve"> to cause many of the symptoms related to PTSD</w:t>
      </w:r>
      <w:r w:rsidR="00647EA6">
        <w:t xml:space="preserve"> </w:t>
      </w:r>
      <w:r w:rsidR="00391605">
        <w:fldChar w:fldCharType="begin"/>
      </w:r>
      <w:r w:rsidR="00C46C73">
        <w:instrText xml:space="preserve"> ADDIN ZOTERO_ITEM CSL_CITATION {"citationID":"MBq2860l","properties":{"formattedCitation":"(Butt et al. 2019)","plainCitation":"(Butt et al. 2019)","noteIndex":0},"citationItems":[{"id":732,"uris":["http://zotero.org/users/local/wdQKiz3s/items/J2788BTH"],"uri":["http://zotero.org/users/local/wdQKiz3s/items/J2788BTH"],"itemData":{"id":732,"type":"article-journal","abstract":"This review aims to identify patterns of electrical signals identified using electroencephalography (EEG) linked to posttraumatic stress disorder (PTSD) diagnosis and symptom dimensions. We filter EEG findings through a clinical lens, evaluating nuances in findings according to study criteria and participant characteristics. Within the EEG frequency domain, greater right than left parietal asymmetry in alpha band power is the most promising marker of PTSD symptoms and is linked to exaggerated physiological arousal that may impair filtering of environmental distractors. The most consistent findings within the EEG time domain focused on event related potentials (ERPs) include: 1) exaggerated frontocentral responses (contingent negative variation, mismatch negativity, and P3a amplitudes) to task-irrelevant distractors, and 2) attenuated parietal responses (P3b amplitudes) to task-relevant target stimuli. These findings suggest that some individuals with PTSD suffer from attention dysregulation, which could contribute to problems concentrating on daily tasks and goals in lieu of threatening distractors. Future research investigating the utility of alpha asymmetry and frontoparietal ERPs as diagnostic and predictive biomarkers or intervention targets are recommended.","container-title":"Frontiers in Psychiatry","DOI":"10.3389/fpsyt.2019.00368","ISSN":"1664-0640","journalAbbreviation":"Front Psychiatry","note":"PMID: 31214058\nPMCID: PMC6555259","source":"PubMed Central","title":"The Electrical Aftermath: Brain Signals of Posttraumatic Stress Disorder Filtered Through a Clinical Lens","title-short":"The Electrical Aftermath","URL":"https://www.ncbi.nlm.nih.gov/pmc/articles/PMC6555259/","volume":"10","author":[{"family":"Butt","given":"Mamona"},{"family":"Espinal","given":"Elizabeth"},{"family":"Aupperle","given":"Robin L."},{"family":"Nikulina","given":"Valentina"},{"family":"Stewart","given":"Jennifer L."}],"accessed":{"date-parts":[["2021",2,4]]},"issued":{"date-parts":[["2019",5,31]]}}}],"schema":"https://github.com/citation-style-language/schema/raw/master/csl-citation.json"} </w:instrText>
      </w:r>
      <w:r w:rsidR="00391605">
        <w:fldChar w:fldCharType="separate"/>
      </w:r>
      <w:r w:rsidR="00C46C73">
        <w:rPr>
          <w:noProof/>
        </w:rPr>
        <w:t>(Butt et al. 2019)</w:t>
      </w:r>
      <w:r w:rsidR="00391605">
        <w:fldChar w:fldCharType="end"/>
      </w:r>
      <w:r w:rsidR="00C46C73">
        <w:t xml:space="preserve"> </w:t>
      </w:r>
      <w:r w:rsidR="00647EA6">
        <w:t>but the targets of</w:t>
      </w:r>
      <w:r w:rsidR="00AE542F">
        <w:t xml:space="preserve"> SSRIs target</w:t>
      </w:r>
      <w:r w:rsidR="00AE542F" w:rsidRPr="007E1701">
        <w:t xml:space="preserve"> are not fully understood and individual patients respon</w:t>
      </w:r>
      <w:r w:rsidR="00AE542F">
        <w:t>d differently to therapeutic treatments</w:t>
      </w:r>
      <w:r w:rsidR="00C46C73">
        <w:t xml:space="preserve"> </w:t>
      </w:r>
      <w:r w:rsidR="00A94ECA">
        <w:fldChar w:fldCharType="begin"/>
      </w:r>
      <w:r w:rsidR="00350495">
        <w:instrText xml:space="preserve"> ADDIN ZOTERO_ITEM CSL_CITATION {"citationID":"DG5ACfbk","properties":{"formattedCitation":"(Kalini\\uc0\\u263{} et al. 2016; MacNamara et al. 2016)","plainCitation":"(Kalinić et al. 2016; MacNamara et al. 2016)","noteIndex":0},"citationItems":[{"id":468,"uris":["http://zotero.org/users/local/wdQKiz3s/items/846KNJWU"],"uri":["http://zotero.org/users/local/wdQKiz3s/items/846KNJWU"],"itemData":{"id":468,"type":"article-journal","abstract":"IntroductionAssociation of pro-inflammatory cytokines with severity of various psychiatric disorders is shown. Evidence suggests omega-3 fatty acids reduce psychiatric symptoms due to anti-inflammatory properties.ObjectivesTo evaluate if serum levels of pro-inflammatory cytokines correlate with the intensity of PTSD symptoms, and the observed change in symptoms’ severity induced by omega-3 supplementation.MethodsWe included 26 Croatian Homeland war veterans (aged 39–60) with chronic PTSD and no major comorbidity, who were on stable therapeutic sertraline dose at least three months before recruitment. Levels of pro-inflammatory cytokines (TNF-α, IL-6, and IL-1β) were determined by the enzyme-linked immunosorbent assay method. Intensity of PTSD symptomatology was assessed by Clinician-Administered PTSD Scale (CAPS), Hamilton Anxiety Scale (HAM-A) and 17-item Hamilton Depression Scale (17-HAM-D). During 12 weeks, participants took omega-3 capsules (600 mg/day) while continuing sertraline therapy.ResultsMost participants presented with moderate PTSD evaluated by CAPS. At baseline, cytokine levels were not associated with the severity of PTSD symptoms, as measured by all three scales (P ≥ 0.209). After 12 weeks of omega-3 supplementation the severity of PTSD symptoms significantly decreased, on average by 8 to 13% on the psychometric scales per person (P &lt; 0.001 for all). However, no association was found between the change in cytokine levels and the change in scores, induced by omega-3, on the assessed scales (P ≥ 0.730).SummaryCytokine levels are not associated with PTSD severity or with improvement in PTSD symptomatology. At the same time, sertraline therapy supplemented with omega-3 seemed to reduce the severity of PTSD symptoms.Disclosure of interestThe authors have not supplied their declaration of competing interest.","container-title":"European Psychiatry","DOI":"10.1016/j.eurpsy.2016.01.519","ISSN":"0924-9338, 1778-3585","issue":"S1","language":"en","note":"publisher: Cambridge University Press","page":"S214-S214","source":"Cambridge University Press","title":"Association of pro-inflammatory cytokines with PTSd severity in patients treated with omega-3 supplementation – a pilot study","volume":"33","author":[{"family":"Kalinić","given":"D."},{"family":"Mimica","given":"N."},{"family":"Jeroncic","given":"A."},{"family":"Lalovac","given":"M."},{"family":"Delaš","given":"I."}],"issued":{"date-parts":[["2016",3]]}}},{"id":383,"uris":["http://zotero.org/users/local/wdQKiz3s/items/IKE8GWWE"],"uri":["http://zotero.org/users/local/wdQKiz3s/items/IKE8GWWE"],"itemData":{"id":383,"type":"article-journal","abstract":"Posttraumatic stress disorder (PTSD)—a chronic, debilitating condition, broadly characterized by emotion dysregulation—is prevalent among US military personnel who have returned from Operations Enduring Freedom (OEF) and Iraqi Freedom (OIF). Selective serotonin reuptake inhibitors (SSRIs) are a first-line treatment for PTSD, but treatment mechanisms are unknown and patient response varies. SSRIs may exert their effects by remediating emotion regulatory brain activity and individual differences in patient response might be explained, in part, by pre-treatment differences in neural systems supporting the downregulation of negative affect. Thirty-four OEF/OIF veterans, 17 with PTSD and 17 without PTSD underwent 2 functional magnetic resonance imaging scans 12 weeks apart. At each scan, they performed an emotion regulation task; in the interim, veterans with PTSD were treated with the SSRI, paroxetine. SSRI treatment increased activation in both the left dorsolateral prefrontal cortex (PFC) and supplementary motor area (SMA) during emotion regulation, although only change in the SMA over time occurred in veterans with PTSD and not those without PTSD. Less activation of the right ventrolateral PFC/inferior frontal gyrus during pre-treatment emotion regulation was associated with greater reduction in PTSD symptoms with SSRI treatment, irrespective of pre-treatment severity. Patients with the least recruitment of prefrontal emotion regulatory brain regions may benefit most from treatment with SSRIs, which appear to augment activity in these regions.","container-title":"Neuropsychopharmacology","DOI":"10.1038/npp.2015.190","ISSN":"1740-634X","issue":"2","language":"en","note":"number: 2\npublisher: Nature Publishing Group","page":"611-618","source":"www-nature-com.colorado.idm.oclc.org","title":"Emotion Regulatory Brain Function and SSRI Treatment in PTSD: Neural Correlates and Predictors of Change","title-short":"Emotion Regulatory Brain Function and SSRI Treatment in PTSD","volume":"41","author":[{"family":"MacNamara","given":"Annmarie"},{"family":"Rabinak","given":"Christine A."},{"family":"Kennedy","given":"Amy E."},{"family":"Fitzgerald","given":"Daniel A."},{"family":"Liberzon","given":"Israel"},{"family":"Stein","given":"Murray B."},{"family":"Phan","given":"K. Luan"}],"issued":{"date-parts":[["2016",1]]}}}],"schema":"https://github.com/citation-style-language/schema/raw/master/csl-citation.json"} </w:instrText>
      </w:r>
      <w:r w:rsidR="00A94ECA">
        <w:fldChar w:fldCharType="separate"/>
      </w:r>
      <w:r w:rsidR="00350495" w:rsidRPr="00350495">
        <w:t>(Kalinić et al. 2016; MacNamara et al. 2016)</w:t>
      </w:r>
      <w:r w:rsidR="00A94ECA">
        <w:fldChar w:fldCharType="end"/>
      </w:r>
      <w:r w:rsidR="00AE542F">
        <w:t xml:space="preserve">. Other classes of medications, such as antipsychotics, </w:t>
      </w:r>
      <w:r w:rsidR="00647EA6">
        <w:t>are also under consideration but have produced mixed results</w:t>
      </w:r>
      <w:r w:rsidR="00B66402">
        <w:t xml:space="preserve"> </w:t>
      </w:r>
      <w:r w:rsidR="0028012B">
        <w:fldChar w:fldCharType="begin"/>
      </w:r>
      <w:r w:rsidR="00B4114B">
        <w:instrText xml:space="preserve"> ADDIN ZOTERO_ITEM CSL_CITATION {"citationID":"N1aNsav4","properties":{"formattedCitation":"(Adetunji et al. 2005)","plainCitation":"(Adetunji et al. 2005)","noteIndex":0},"citationItems":[{"id":735,"uris":["http://zotero.org/users/local/wdQKiz3s/items/8L4KX8HM"],"uri":["http://zotero.org/users/local/wdQKiz3s/items/8L4KX8HM"],"itemData":{"id":735,"type":"article-journal","abstract":"Post-traumatic stress disorder (PTSD) is a severe and disabling psychiatric syndrome. With the advent of selective serotonin reuptake inhibitors (SSRIs), major strides have been made in the realms of pharmacotherapy. The multiplicity of symptom complex includes specific target symptoms, such as intrusiveness, aggression, sleep disturbances, and co-existing psychotic symptoms. Consequently, atypical antipsychotics gradually have been gaining ground in terms of adjunctive utilization. The purpose of this review is to look into the available evidence for their adjunctive use in this chronic disorder.","container-title":"Psychiatry (Edgmont)","ISSN":"1550-5952","issue":"4","journalAbbreviation":"Psychiatry (Edgmont)","note":"PMID: 21179651\nPMCID: PMC3004738","page":"43-47","source":"PubMed Central","title":"Use of Antipsychotics in the Treatment of Post-Traumatic Stress Disorder","volume":"2","author":[{"family":"Adetunji","given":"Babatunde"},{"family":"Mathews","given":"Maju"},{"family":"Williams","given":"Adedapo"},{"family":"Budur","given":"Kumar"},{"family":"Mathews","given":"Manu"},{"family":"Mahmud","given":"Jamal"},{"family":"Osinowo","given":"Thomas"}],"issued":{"date-parts":[["2005",4]]}}}],"schema":"https://github.com/citation-style-language/schema/raw/master/csl-citation.json"} </w:instrText>
      </w:r>
      <w:r w:rsidR="0028012B">
        <w:fldChar w:fldCharType="separate"/>
      </w:r>
      <w:r w:rsidR="00B4114B">
        <w:rPr>
          <w:noProof/>
        </w:rPr>
        <w:t>(Adetunji et al. 2005)</w:t>
      </w:r>
      <w:r w:rsidR="0028012B">
        <w:fldChar w:fldCharType="end"/>
      </w:r>
      <w:r w:rsidR="00647EA6">
        <w:t xml:space="preserve">. </w:t>
      </w:r>
    </w:p>
    <w:p w14:paraId="26D873DF" w14:textId="403FF4AD" w:rsidR="00C17EDC" w:rsidRDefault="00C17EDC" w:rsidP="007A1D40">
      <w:pPr>
        <w:autoSpaceDE w:val="0"/>
        <w:autoSpaceDN w:val="0"/>
        <w:adjustRightInd w:val="0"/>
        <w:spacing w:line="480" w:lineRule="auto"/>
        <w:rPr>
          <w:b/>
          <w:bCs/>
        </w:rPr>
      </w:pPr>
    </w:p>
    <w:p w14:paraId="014CA59F" w14:textId="08DCF3A3" w:rsidR="00275F0C" w:rsidRPr="00275F0C" w:rsidRDefault="00275F0C" w:rsidP="007A1D40">
      <w:pPr>
        <w:spacing w:line="480" w:lineRule="auto"/>
      </w:pPr>
      <w:r>
        <w:t xml:space="preserve">The stress responsivity of PTSD </w:t>
      </w:r>
      <w:r w:rsidR="00A27593">
        <w:t xml:space="preserve"> also involves other compounds linked to the systems discussed above, such as </w:t>
      </w:r>
      <w:r w:rsidR="00B4114B">
        <w:t>g</w:t>
      </w:r>
      <w:r w:rsidRPr="00275F0C">
        <w:t>amma</w:t>
      </w:r>
      <w:r w:rsidR="00D17FAB">
        <w:t>-</w:t>
      </w:r>
      <w:r w:rsidRPr="00275F0C">
        <w:t>aminobutyric acid</w:t>
      </w:r>
      <w:r>
        <w:t xml:space="preserve"> (GABA), corticotropin</w:t>
      </w:r>
      <w:r w:rsidR="00D17FAB">
        <w:t>-</w:t>
      </w:r>
      <w:r>
        <w:t xml:space="preserve">releasing factor (CRF), and noradrenaline systems </w:t>
      </w:r>
      <w:r>
        <w:fldChar w:fldCharType="begin"/>
      </w:r>
      <w:r>
        <w:instrText xml:space="preserve"> ADDIN ZOTERO_ITEM CSL_CITATION {"citationID":"QOevBOLN","properties":{"formattedCitation":"(Steckler and Risbrough 2012)","plainCitation":"(Steckler and Risbrough 2012)","noteIndex":0},"citationItems":[{"id":506,"uris":["http://zotero.org/users/local/wdQKiz3s/items/275RQBWZ"],"uri":["http://zotero.org/users/local/wdQKiz3s/items/275RQBWZ"],"itemData":{"id":506,"type":"article-journal","abstract":"A large proportion of humans will experience a traumatic event at least once in their lifetime, with up to 10% then going on to developing post-traumatic stress disorder (PTSD). In this review we will discuss established pharmacological interventions for PTSD as well as highlight novel therapeutic strategies undergoing extensive preclinical research as well as ongoing clinical research. Such strategies include prophylactic treatments and use of pharmacotherapy as adjunctive treatment with established trauma-focused psychological therapies. These potential treatment approaches include modulation of stress effects on memory consolidation after trauma (e.g. glucocorticoid, corticotropin releasing factor and norepinephrine signalling modulators), as well as putative cognitive enhancers that target mechanisms of conditioned fear extinction and reconsolidation (e.g. glucocorticoid receptor modulators and modulators of glutamate signalling such as positive allosteric modulators of glutamate receptors, glycine transporter inhibitors, glycine agonists, autoreceptor antagonists). We will discuss evidence for and against these potential novel treatment strategies and their limitations.","container-title":"Neuropharmacology","DOI":"10.1016/j.neuropharm.2011.06.012","ISSN":"0028-3908","issue":"2","journalAbbreviation":"Neuropharmacology","note":"PMID: 21736888\nPMCID: PMC3204327","page":"617-627","source":"PubMed Central","title":"Pharmacological Treatment of PTSD – Established and New Approaches","volume":"62","author":[{"family":"Steckler","given":"Thomas"},{"family":"Risbrough","given":"Victoria"}],"issued":{"date-parts":[["2012",2]]}}}],"schema":"https://github.com/citation-style-language/schema/raw/master/csl-citation.json"} </w:instrText>
      </w:r>
      <w:r>
        <w:fldChar w:fldCharType="separate"/>
      </w:r>
      <w:r>
        <w:rPr>
          <w:noProof/>
        </w:rPr>
        <w:t>(Steckler and Risbrough 2012)</w:t>
      </w:r>
      <w:r>
        <w:fldChar w:fldCharType="end"/>
      </w:r>
      <w:r>
        <w:t xml:space="preserve">. Double blind trials demonstrated </w:t>
      </w:r>
      <w:r>
        <w:lastRenderedPageBreak/>
        <w:t>considerable efficacy of paroxetine and sertraline compared to control (baseline Clini</w:t>
      </w:r>
      <w:r w:rsidR="00DD4E76">
        <w:t xml:space="preserve">cian-Administered PTSD, CAPS-2 scale; </w:t>
      </w:r>
      <w:r w:rsidR="00DD4E76">
        <w:fldChar w:fldCharType="begin"/>
      </w:r>
      <w:r w:rsidR="00DD4E76">
        <w:instrText xml:space="preserve"> ADDIN ZOTERO_ITEM CSL_CITATION {"citationID":"UsI43cjC","properties":{"formattedCitation":"(Attari et al. 2014; Kelmendi et al. 2016)","plainCitation":"(Attari et al. 2014; Kelmendi et al. 2016)","noteIndex":0},"citationItems":[{"id":512,"uris":["http://zotero.org/users/local/wdQKiz3s/items/YNM6MARJ"],"uri":["http://zotero.org/users/local/wdQKiz3s/items/YNM6MARJ"],"itemData":{"id":512,"type":"article-journal","abstract":"BACKGROUND: Posttraumatic stress disorder (PTSD) tends to follow a chronic and treatment resistant course. Avoidance and numbing are symptoms associated with chronicity and impaired life quality. As D-cycloserine (DCS) can facilitate extinction of conditioned fear, we aimed to investigate the efficacy and tolerability of DCS for the treatment of numbing and avoidance in chronic PTSD.\nMATERIALS AND METHODS: This was an 11-week, double-blind, cross-over trial conducted in 2012 and 2013, in out-patient University psychiatry clinics. The studied population was selected randomly among outpatients with chronic combat-related PTSD (based on DSM-IV-TR criteria for chronic PTSD), who were males over 18 and &lt;65 years of age (n = 319). Seventy six eligible patients were randomly assigned to two groups. Patients entered a 1-week run-in period. The groups received either an add-on treatment of DCS (50 mg daily), or placebo (4-week). After a 2-week washout, the groups received cross-over treatments (4-week). Clinical, paraclinical assessments, and clinician administered PTSD scale (CAPS) were performed at baseline, and at the end of the 1(st), 5(th), and 11(th) week. Side-effects were also evaluated. The overall number of avoidance and numbing symptoms, symptom frequency, and symptom intensity were measured separately.\nRESULTS: Neither frequency nor number of symptoms was significantly influenced. However, DCS treatment demonstrates a significant decrease in intensity of avoidance/numbing symptoms, and improvement in function (mean [standard error] = -4.2 [1.5], P = 0.008). Side-effects were not statistically remarkable.\nCONCLUSION: D-cycloserine can help as an adjunctive treatment to alleviate numbing and avoidance in combat-related chronic PTSD.","container-title":"Journal of Research in Medical Sciences: The Official Journal of Isfahan University of Medical Sciences","ISSN":"1735-1995","issue":"7","journalAbbreviation":"J Res Med Sci","language":"eng","note":"PMID: 25364356\nPMCID: PMC4214015","page":"592-598","source":"PubMed","title":"D-cycloserine for treatment of numbing and avoidance in chronic post traumatic stress disorder: A randomized, double blind, clinical trial","title-short":"D-cycloserine for treatment of numbing and avoidance in chronic post traumatic stress disorder","volume":"19","author":[{"family":"Attari","given":"Abbas"},{"family":"Rajabi","given":"Fatemeh"},{"family":"Maracy","given":"Mohammad Reza"}],"issued":{"date-parts":[["2014",7]]}}},{"id":509,"uris":["http://zotero.org/users/local/wdQKiz3s/items/HWMLKKRG"],"uri":["http://zotero.org/users/local/wdQKiz3s/items/HWMLKKRG"],"itemData":{"id":509,"type":"article-journal","abstract":"Posttraumatic stress disorder (PTSD) is a chronic debilitating psychiatric disorder characterized by symptoms of re-experience, avoidance, and hyperarousal that can arise immediately or many years after exposure to a traumatic event and injury. Although extensive research has been done over the past 30 years, the etiology of PTSD remains largely unknown. Several neurobiological systems have been implicated in the pathophysiology and vulnerability for developing PTSD; however, first-line pharmacotherapies are limited. Less than 30% achieve full remission, and even then, approved pharmacological treatments often take weeks for therapeutic effect. This article aims to review the pathophysiology of PTSD within multiple neurobiological systems and how these mechanisms are used as pharmacologic targets of treatment, as well as their potential for future targets of intervention.","container-title":"European Journal of Psychotraumatology","DOI":"10.3402/ejpt.v7.31858","ISSN":"2000-8066","journalAbbreviation":"Eur J Psychotraumatol","note":"PMID: 27837583\nPMCID: PMC5106865","source":"PubMed Central","title":"PTSD: from neurobiology to pharmacological treatments","title-short":"PTSD","URL":"https://www.ncbi.nlm.nih.gov/pmc/articles/PMC5106865/","volume":"7","author":[{"family":"Kelmendi","given":"Benjamin"},{"family":"Adams","given":"Thomas G."},{"family":"Yarnell","given":"Stephanie"},{"family":"Southwick","given":"Steven"},{"family":"Abdallah","given":"Chadi G."},{"family":"Krystal","given":"John H."}],"accessed":{"date-parts":[["2020",12,15]]},"issued":{"date-parts":[["2016",11,8]]}}}],"schema":"https://github.com/citation-style-language/schema/raw/master/csl-citation.json"} </w:instrText>
      </w:r>
      <w:r w:rsidR="00DD4E76">
        <w:fldChar w:fldCharType="separate"/>
      </w:r>
      <w:r w:rsidR="00DD4E76">
        <w:rPr>
          <w:noProof/>
        </w:rPr>
        <w:t>Attari et al. 2014; Kelmendi et al. 2016)</w:t>
      </w:r>
      <w:r w:rsidR="00DD4E76">
        <w:fldChar w:fldCharType="end"/>
      </w:r>
      <w:r w:rsidR="00DD4E76">
        <w:t xml:space="preserve">. In veterans seeking treatment through the Department of Veterans Affairs (VA) hospital, sertraline showed mixed results depending on dosage </w:t>
      </w:r>
      <w:r w:rsidR="00DD4E76">
        <w:fldChar w:fldCharType="begin"/>
      </w:r>
      <w:r w:rsidR="00DD4E76">
        <w:instrText xml:space="preserve"> ADDIN ZOTERO_ITEM CSL_CITATION {"citationID":"dW8R9ZS3","properties":{"formattedCitation":"(Ursano et al. 2004; Friedman et al. 2007; Kelmendi et al. 2016)","plainCitation":"(Ursano et al. 2004; Friedman et al. 2007; Kelmendi et al. 2016)","noteIndex":0},"citationItems":[{"id":516,"uris":["http://zotero.org/users/local/wdQKiz3s/items/LUPZV7P5"],"uri":["http://zotero.org/users/local/wdQKiz3s/items/LUPZV7P5"],"itemData":{"id":516,"type":"article-journal","container-title":"The American Journal of Psychiatry","ISSN":"0002-953X","issue":"11 Suppl","journalAbbreviation":"Am J Psychiatry","language":"eng","note":"PMID: 15617511","page":"3-31","source":"PubMed","title":"Practice guideline for the treatment of patients with acute stress disorder and posttraumatic stress disorder","volume":"161","author":[{"family":"Ursano","given":"Robert J."},{"family":"Bell","given":"Carl"},{"family":"Eth","given":"Spencer"},{"family":"Friedman","given":"Matthew"},{"family":"Norwood","given":"Ann"},{"family":"Pfefferbaum","given":"Betty"},{"family":"Pynoos","given":"J. D. Robert S."},{"family":"Zatzick","given":"Douglas F."},{"family":"Benedek","given":"David M."},{"family":"McIntyre","given":"John S."},{"family":"Charles","given":"Sara C."},{"family":"Altshuler","given":"Kenneth"},{"family":"Cook","given":"Ian"},{"family":"Cross","given":"C. Deborah"},{"family":"Mellman","given":"Lisa"},{"family":"Moench","given":"Louis Alan"},{"family":"Norquist","given":"Grayson"},{"family":"Twemlow","given":"Stuart W."},{"family":"Woods","given":"Sherwyn"},{"family":"Yager","given":"Joel"},{"literal":"Work Group on ASD and PTSD"},{"literal":"Steering Committee on Practice Guidelines"}],"issued":{"date-parts":[["2004",11]]}}},{"id":514,"uris":["http://zotero.org/users/local/wdQKiz3s/items/MAVIEJ5G"],"uri":["http://zotero.org/users/local/wdQKiz3s/items/MAVIEJ5G"],"itemData":{"id":514,"type":"article-journal","abstract":"OBJECTIVE: To evaluate the efficacy of sertraline in the treatment of posttraumatic stress disorder (PTSD) in a Veterans Affairs (VA) clinic setting involving patients with predominantly combat-related PTSD.\nMETHOD: 169 outpatient subjects with a DSM-III-R diagnosis of PTSD and who scored 50 or higher on Part 2 of the Clinician-Administered PTSD Scale (CAPS-2) at the end of a 1-week placebo run-in period participated. Patients recruited from 10 VA medical centers were randomly assigned to 12 weeks of flexibly dosed sertraline (25-200 mg/day) (N = 86; 70% with combat-related PTSD; 79% male) or placebo (N = 83; 72% combat-related PTSD; 81% male) between May 1994 and September 1996. The primary efficacy measures were the mean change in CAPS-2 total severity score from baseline to endpoint, in the total score from the Impact of Event Scale, and in the Clinical Global Impressions-Severity of Illness and Improvement scales.\nRESULTS: There were no significant differences between sertraline and placebo on any of the primary or secondary efficacy measures at endpoint. In order to understand the results, gender, duration of illness, severity of illness, type of trauma, and history of alcohol/substance abuse were explored as potential moderators of outcome, but no consistent effects were uncovered. Sertraline was well tolerated, with 13% of patients discontinuing due to adverse events.\nCONCLUSION: Sertraline was not demonstrated to be efficacious in the treatment of PTSD in the VA clinic settings studied.","container-title":"The Journal of Clinical Psychiatry","DOI":"10.4088/jcp.v68n0508","ISSN":"1555-2101","issue":"5","journalAbbreviation":"J Clin Psychiatry","language":"eng","note":"PMID: 17503980","page":"711-720","source":"PubMed","title":"Randomized, double-blind comparison of sertraline and placebo for posttraumatic stress disorder in a Department of Veterans Affairs setting","volume":"68","author":[{"family":"Friedman","given":"Matthew J."},{"family":"Marmar","given":"Charles R."},{"family":"Baker","given":"Dewleen G."},{"family":"Sikes","given":"Carolyn R."},{"family":"Farfel","given":"Gail M."}],"issued":{"date-parts":[["2007",5]]}}},{"id":509,"uris":["http://zotero.org/users/local/wdQKiz3s/items/HWMLKKRG"],"uri":["http://zotero.org/users/local/wdQKiz3s/items/HWMLKKRG"],"itemData":{"id":509,"type":"article-journal","abstract":"Posttraumatic stress disorder (PTSD) is a chronic debilitating psychiatric disorder characterized by symptoms of re-experience, avoidance, and hyperarousal that can arise immediately or many years after exposure to a traumatic event and injury. Although extensive research has been done over the past 30 years, the etiology of PTSD remains largely unknown. Several neurobiological systems have been implicated in the pathophysiology and vulnerability for developing PTSD; however, first-line pharmacotherapies are limited. Less than 30% achieve full remission, and even then, approved pharmacological treatments often take weeks for therapeutic effect. This article aims to review the pathophysiology of PTSD within multiple neurobiological systems and how these mechanisms are used as pharmacologic targets of treatment, as well as their potential for future targets of intervention.","container-title":"European Journal of Psychotraumatology","DOI":"10.3402/ejpt.v7.31858","ISSN":"2000-8066","journalAbbreviation":"Eur J Psychotraumatol","note":"PMID: 27837583\nPMCID: PMC5106865","source":"PubMed Central","title":"PTSD: from neurobiology to pharmacological treatments","title-short":"PTSD","URL":"https://www.ncbi.nlm.nih.gov/pmc/articles/PMC5106865/","volume":"7","author":[{"family":"Kelmendi","given":"Benjamin"},{"family":"Adams","given":"Thomas G."},{"family":"Yarnell","given":"Stephanie"},{"family":"Southwick","given":"Steven"},{"family":"Abdallah","given":"Chadi G."},{"family":"Krystal","given":"John H."}],"accessed":{"date-parts":[["2020",12,15]]},"issued":{"date-parts":[["2016",11,8]]}}}],"schema":"https://github.com/citation-style-language/schema/raw/master/csl-citation.json"} </w:instrText>
      </w:r>
      <w:r w:rsidR="00DD4E76">
        <w:fldChar w:fldCharType="separate"/>
      </w:r>
      <w:r w:rsidR="00DD4E76">
        <w:rPr>
          <w:noProof/>
        </w:rPr>
        <w:t>(Ursano et al. 2004; Friedman et al. 2007; Kelmendi et al. 2016)</w:t>
      </w:r>
      <w:r w:rsidR="00DD4E76">
        <w:fldChar w:fldCharType="end"/>
      </w:r>
      <w:r w:rsidR="00DD4E76">
        <w:t>.</w:t>
      </w:r>
    </w:p>
    <w:p w14:paraId="709A76AC" w14:textId="747A76E3" w:rsidR="00275F0C" w:rsidRPr="00275F0C" w:rsidRDefault="00275F0C" w:rsidP="007A1D40">
      <w:pPr>
        <w:autoSpaceDE w:val="0"/>
        <w:autoSpaceDN w:val="0"/>
        <w:adjustRightInd w:val="0"/>
        <w:spacing w:line="480" w:lineRule="auto"/>
      </w:pPr>
    </w:p>
    <w:p w14:paraId="3D33490D" w14:textId="0EE9B452" w:rsidR="003D3B93" w:rsidRPr="001210F8" w:rsidRDefault="000A5153" w:rsidP="001210F8">
      <w:pPr>
        <w:autoSpaceDE w:val="0"/>
        <w:autoSpaceDN w:val="0"/>
        <w:adjustRightInd w:val="0"/>
        <w:spacing w:line="480" w:lineRule="auto"/>
        <w:rPr>
          <w:i/>
          <w:iCs/>
        </w:rPr>
      </w:pPr>
      <w:r>
        <w:rPr>
          <w:i/>
          <w:iCs/>
        </w:rPr>
        <w:t>Emerging</w:t>
      </w:r>
      <w:r w:rsidR="009D52A2" w:rsidRPr="001210F8">
        <w:rPr>
          <w:i/>
          <w:iCs/>
        </w:rPr>
        <w:t xml:space="preserve"> Pharmacological </w:t>
      </w:r>
      <w:r w:rsidR="00112476" w:rsidRPr="001210F8">
        <w:rPr>
          <w:i/>
          <w:iCs/>
        </w:rPr>
        <w:t>Approaches</w:t>
      </w:r>
      <w:r w:rsidR="009D52A2" w:rsidRPr="001210F8">
        <w:rPr>
          <w:i/>
          <w:iCs/>
        </w:rPr>
        <w:t xml:space="preserve"> </w:t>
      </w:r>
      <w:r w:rsidR="00112476" w:rsidRPr="001210F8">
        <w:rPr>
          <w:i/>
          <w:iCs/>
        </w:rPr>
        <w:t>for future</w:t>
      </w:r>
      <w:r w:rsidR="009D52A2" w:rsidRPr="001210F8">
        <w:rPr>
          <w:i/>
          <w:iCs/>
        </w:rPr>
        <w:t xml:space="preserve"> PTSD</w:t>
      </w:r>
      <w:r w:rsidR="00112476" w:rsidRPr="001210F8">
        <w:rPr>
          <w:i/>
          <w:iCs/>
        </w:rPr>
        <w:t xml:space="preserve"> treatment</w:t>
      </w:r>
    </w:p>
    <w:p w14:paraId="1E3CAF45" w14:textId="0CC0E3F3" w:rsidR="007E1701" w:rsidRDefault="007E1701" w:rsidP="007A1D40">
      <w:pPr>
        <w:spacing w:line="480" w:lineRule="auto"/>
      </w:pPr>
    </w:p>
    <w:p w14:paraId="5EF58A1D" w14:textId="0CC05427" w:rsidR="00112476" w:rsidRPr="00D135EC" w:rsidRDefault="00112476" w:rsidP="007A1D40">
      <w:pPr>
        <w:spacing w:line="480" w:lineRule="auto"/>
        <w:rPr>
          <w:i/>
          <w:iCs/>
        </w:rPr>
      </w:pPr>
      <w:r w:rsidRPr="00D135EC">
        <w:rPr>
          <w:i/>
          <w:iCs/>
        </w:rPr>
        <w:t>Ketamine</w:t>
      </w:r>
    </w:p>
    <w:p w14:paraId="44CF73A9" w14:textId="77777777" w:rsidR="00112476" w:rsidRDefault="00112476" w:rsidP="003238B2">
      <w:pPr>
        <w:spacing w:line="480" w:lineRule="auto"/>
      </w:pPr>
    </w:p>
    <w:p w14:paraId="7219264F" w14:textId="0D28BE72" w:rsidR="00991478" w:rsidRPr="00FE024C" w:rsidRDefault="007E1701" w:rsidP="007A1D40">
      <w:pPr>
        <w:spacing w:line="480" w:lineRule="auto"/>
      </w:pPr>
      <w:r>
        <w:t xml:space="preserve">New forms of medication are being tested </w:t>
      </w:r>
      <w:r w:rsidR="00112476">
        <w:t xml:space="preserve">at </w:t>
      </w:r>
      <w:r>
        <w:t>the forefront of medical innovation</w:t>
      </w:r>
      <w:r w:rsidR="00112476">
        <w:t xml:space="preserve"> and </w:t>
      </w:r>
      <w:r>
        <w:t xml:space="preserve">move past the </w:t>
      </w:r>
      <w:r w:rsidRPr="007E1701">
        <w:t>narrow fear-based perspective</w:t>
      </w:r>
      <w:r w:rsidR="00112476">
        <w:t xml:space="preserve"> of treating PTSD patients</w:t>
      </w:r>
      <w:r w:rsidR="00FF0722">
        <w:t>, which</w:t>
      </w:r>
      <w:r w:rsidR="00112476">
        <w:t xml:space="preserve"> has had limited success.</w:t>
      </w:r>
      <w:r>
        <w:t xml:space="preserve"> </w:t>
      </w:r>
      <w:r w:rsidR="00112476">
        <w:t xml:space="preserve">New </w:t>
      </w:r>
      <w:r>
        <w:t xml:space="preserve">medications focus on </w:t>
      </w:r>
      <w:r w:rsidR="001F25B0">
        <w:t>stressed-induced neuronal dys</w:t>
      </w:r>
      <w:r w:rsidR="00604445">
        <w:t>function</w:t>
      </w:r>
      <w:r w:rsidR="00027355">
        <w:t xml:space="preserve"> </w:t>
      </w:r>
      <w:r>
        <w:t>associated with anxiety-inducing symptoms and depressive episodes</w:t>
      </w:r>
      <w:r w:rsidR="00112476">
        <w:t xml:space="preserve"> of PTSD</w:t>
      </w:r>
      <w:r w:rsidR="00565366">
        <w:t xml:space="preserve"> (Park and Poo 2013)</w:t>
      </w:r>
      <w:r>
        <w:t xml:space="preserve">. One notable </w:t>
      </w:r>
      <w:r w:rsidR="00112476">
        <w:t xml:space="preserve">example </w:t>
      </w:r>
      <w:r>
        <w:t xml:space="preserve">is </w:t>
      </w:r>
      <w:r w:rsidR="00565366">
        <w:t>k</w:t>
      </w:r>
      <w:r>
        <w:t xml:space="preserve">etamine </w:t>
      </w:r>
      <w:r w:rsidR="00565366">
        <w:t xml:space="preserve">that is </w:t>
      </w:r>
      <w:r w:rsidR="00112476">
        <w:t>used to increase the levels of</w:t>
      </w:r>
      <w:r>
        <w:t xml:space="preserve"> </w:t>
      </w:r>
      <w:r w:rsidR="00112476">
        <w:t>b</w:t>
      </w:r>
      <w:r w:rsidRPr="007E1701">
        <w:t>rain-</w:t>
      </w:r>
      <w:r w:rsidR="00112476">
        <w:t>d</w:t>
      </w:r>
      <w:r w:rsidRPr="007E1701">
        <w:t xml:space="preserve">erived </w:t>
      </w:r>
      <w:r w:rsidR="00112476">
        <w:t>n</w:t>
      </w:r>
      <w:r w:rsidRPr="007E1701">
        <w:t xml:space="preserve">eurotrophic </w:t>
      </w:r>
      <w:r w:rsidR="00112476">
        <w:t>f</w:t>
      </w:r>
      <w:r w:rsidRPr="007E1701">
        <w:t>actor</w:t>
      </w:r>
      <w:r>
        <w:t xml:space="preserve"> (BDNF)</w:t>
      </w:r>
      <w:r w:rsidR="00112476">
        <w:t xml:space="preserve">, a </w:t>
      </w:r>
      <w:r w:rsidRPr="007E1701">
        <w:t xml:space="preserve">growth factor </w:t>
      </w:r>
      <w:r w:rsidR="00B42EB6">
        <w:t>that reinforces</w:t>
      </w:r>
      <w:r w:rsidRPr="007E1701">
        <w:t xml:space="preserve"> survival of existing neurons and pr</w:t>
      </w:r>
      <w:r>
        <w:t>oliferates</w:t>
      </w:r>
      <w:r w:rsidRPr="007E1701">
        <w:t xml:space="preserve"> synaptogenesis and </w:t>
      </w:r>
      <w:r w:rsidR="00B42EB6">
        <w:t xml:space="preserve">neuronal </w:t>
      </w:r>
      <w:r w:rsidRPr="007E1701">
        <w:t xml:space="preserve">differentiation </w:t>
      </w:r>
      <w:r w:rsidR="00B42EB6">
        <w:t xml:space="preserve">in </w:t>
      </w:r>
      <w:r>
        <w:t xml:space="preserve">the brain </w:t>
      </w:r>
      <w:r>
        <w:fldChar w:fldCharType="begin"/>
      </w:r>
      <w:r>
        <w:instrText xml:space="preserve"> ADDIN ZOTERO_ITEM CSL_CITATION {"citationID":"umSToMJK","properties":{"formattedCitation":"(Park and Poo 2013)","plainCitation":"(Park and Poo 2013)","noteIndex":0},"citationItems":[{"id":403,"uris":["http://zotero.org/users/local/wdQKiz3s/items/IASFU3VH"],"uri":["http://zotero.org/users/local/wdQKiz3s/items/IASFU3VH"],"itemData":{"id":403,"type":"article-journal","abstract":"Neurotrophins, brain-derived neurotrophic factor (BDNF) in particular, regulate neural circuit development and function. How neural activity controls the expression, processing, secretion and cellular actions of neurotrophins remains to be fully understood.Epigenetic regulation of BDNF transcription, selective localization of different BDNF transcripts and the existence and function of local dendritic BDNF synthesis are areas that require further clarification.In developing circuits, BDNF–tropomyosin-related kinase B (TRKB) signalling regulates neuronal differentiation and growth as well as synapse formation, maturation and refinement, although its previously presumed role in CNS neuronal survival is now seriously challenged by new evidence.In mature neural circuits, BDNF–TRKB signalling modulates synaptic efficacy and synaptic plasticity, such as long-term potentiation (LTP) and long-term depression, via pre- and postsynaptic mechanisms. It may also mediate the formation of stable late-LTP and structural modification of synapses through protein synthesis-dependent mechanisms. The source of synaptically secreted BDNF in vivo remains to be clarified (for example, whether it is a pre- or postsynaptic cell). Whether pro-BDNF is secreted and processed extracellularly at the synapse under physiological conditions remains controversial.Activity-dependent transcytosis and trans-synaptic transfer of neurotrophins are highly relevant to neurotrophin regulation of neural circuits, as these processes provide selective long-range propagation of neurotrophin actions within the neural circuit.","container-title":"Nature Reviews Neuroscience","DOI":"10.1038/nrn3379","ISSN":"1471-0048","issue":"1","language":"en","note":"number: 1\npublisher: Nature Publishing Group","page":"7-23","source":"www.nature.com","title":"Neurotrophin regulation of neural circuit development and function","volume":"14","author":[{"family":"Park","given":"Hyungju"},{"family":"Poo","given":"Mu-ming"}],"issued":{"date-parts":[["2013",1]]}}}],"schema":"https://github.com/citation-style-language/schema/raw/master/csl-citation.json"} </w:instrText>
      </w:r>
      <w:r>
        <w:fldChar w:fldCharType="separate"/>
      </w:r>
      <w:r>
        <w:rPr>
          <w:noProof/>
        </w:rPr>
        <w:t>(Park and Poo 2013)</w:t>
      </w:r>
      <w:r>
        <w:fldChar w:fldCharType="end"/>
      </w:r>
      <w:r>
        <w:t xml:space="preserve">. </w:t>
      </w:r>
      <w:r w:rsidR="00EB4944">
        <w:t xml:space="preserve">BDNF factor is also a pivotal part of the </w:t>
      </w:r>
      <w:r w:rsidR="00692672">
        <w:t xml:space="preserve">stress response </w:t>
      </w:r>
      <w:r w:rsidR="00A24C28">
        <w:t xml:space="preserve">by functioning as </w:t>
      </w:r>
      <w:r w:rsidR="007428E7">
        <w:t>a</w:t>
      </w:r>
      <w:r w:rsidR="00A24C28">
        <w:t xml:space="preserve"> signaling </w:t>
      </w:r>
      <w:r w:rsidR="00597463">
        <w:t xml:space="preserve">component </w:t>
      </w:r>
      <w:r w:rsidR="00781109">
        <w:t xml:space="preserve">and </w:t>
      </w:r>
      <w:r w:rsidR="00006CD7">
        <w:t xml:space="preserve">regulatory factor </w:t>
      </w:r>
      <w:r w:rsidR="00597463">
        <w:t>in the HPA axis</w:t>
      </w:r>
      <w:r w:rsidR="00B00241">
        <w:t xml:space="preserve"> </w:t>
      </w:r>
      <w:r w:rsidR="00DF0CE9">
        <w:fldChar w:fldCharType="begin"/>
      </w:r>
      <w:r w:rsidR="00DF0CE9">
        <w:instrText xml:space="preserve"> ADDIN ZOTERO_TEMP </w:instrText>
      </w:r>
      <w:r w:rsidR="00DF0CE9">
        <w:fldChar w:fldCharType="separate"/>
      </w:r>
      <w:r w:rsidR="00B00241">
        <w:rPr>
          <w:noProof/>
        </w:rPr>
        <w:t>(Kunugi et al. 2010)</w:t>
      </w:r>
      <w:r w:rsidR="00DF0CE9">
        <w:rPr>
          <w:noProof/>
        </w:rPr>
        <w:fldChar w:fldCharType="end"/>
      </w:r>
      <w:r w:rsidR="00B00241">
        <w:t xml:space="preserve">. </w:t>
      </w:r>
      <w:r>
        <w:t xml:space="preserve">Ketamine </w:t>
      </w:r>
      <w:r w:rsidR="00B42EB6">
        <w:t xml:space="preserve">thus </w:t>
      </w:r>
      <w:r w:rsidRPr="007E1701">
        <w:t>promote</w:t>
      </w:r>
      <w:r w:rsidR="00B42EB6">
        <w:t>s</w:t>
      </w:r>
      <w:r w:rsidRPr="007E1701">
        <w:t xml:space="preserve"> proliferation and survival of </w:t>
      </w:r>
      <w:r>
        <w:t xml:space="preserve">pre-existing </w:t>
      </w:r>
      <w:r w:rsidRPr="007E1701">
        <w:t>neurons</w:t>
      </w:r>
      <w:r w:rsidR="00B42EB6">
        <w:t>, and counteracts</w:t>
      </w:r>
      <w:r>
        <w:t xml:space="preserve"> </w:t>
      </w:r>
      <w:r w:rsidR="0096642E">
        <w:t>neuronal dysfunction</w:t>
      </w:r>
      <w:r>
        <w:t xml:space="preserve"> and its related symptoms </w:t>
      </w:r>
      <w:r>
        <w:fldChar w:fldCharType="begin"/>
      </w:r>
      <w:r>
        <w:instrText xml:space="preserve"> ADDIN ZOTERO_ITEM CSL_CITATION {"citationID":"lYlI68fr","properties":{"formattedCitation":"(Andero and Ressler 2012; Zhang et al. 2016; Hou et al. 2018)","plainCitation":"(Andero and Ressler 2012; Zhang et al. 2016; Hou et al. 2018)","noteIndex":0},"citationItems":[{"id":406,"uris":["http://zotero.org/users/local/wdQKiz3s/items/HKPN9VNQ"],"uri":["http://zotero.org/users/local/wdQKiz3s/items/HKPN9VNQ"],"itemData":{"id":406,"type":"article-journal","abstract":"Brain-derived neurotrophic factor (BDNF) is the most studied neurotrophin involved in synaptic plasticity processes that are required for long-term learning and memory. Specifically, BDNF gene expression and activation of its high-affinity tropomyosin-related kinase B (TrkB) receptor are necessary in the amygdala, hippocampus and prefrontal cortex for the formation of emotional memories, including fear memories. Among the psychiatric disorders with altered fear processing, there is post-traumatic stress disorder (PTSD) which is characterized by an inability to extinguish fear memories. Since BDNF appears to enhance extinction of fear, targeting impaired extinction in anxiety disorders such as PTSD via BDNF signalling may be an important and novel way to enhance treatment efficacy. The aim of this review is to provide a translational point of view that stems from findings in the BDNF regulation of synaptic plasticity and fear extinction. In addition, there are different systems that seem to alter fear extinction through BDNF modulation like the endocannabinoid system and the hypothalamic–pituitary adrenal axis. Recent work also finds that the pituitary adenylate cyclase-activating polypeptide and PAC1 receptor, which are upstream of BDNF activation, may be implicated in PTSD. Especially interesting are data that exogenous fear extinction enhancers such as antidepressants, histone deacetylases inhibitors and d-cycloserine, a partial N-methyl d-aspartate agonist, may act through or in concert with the BDNF–TrkB system. Finally, we review studies where recombinant BDNF and a putative TrkB agonist, 7,8-dihydroxyflavone, may enhance extinction of fear. These approaches may lead to novel agents that improve extinction in animal models and eventually humans.","container-title":"Genes, Brain and Behavior","DOI":"10.1111/j.1601-183X.2012.00801.x","ISSN":"1601-183X","issue":"5","language":"en","note":"_eprint: https://onlinelibrary.wiley.com/doi/pdf/10.1111/j.1601-183X.2012.00801.x","page":"503-512","source":"Wiley Online Library","title":"Fear extinction and BDNF: translating animal models of PTSD to the clinic","title-short":"Fear extinction and BDNF","volume":"11","author":[{"family":"Andero","given":"R."},{"family":"Ressler","given":"K. J."}],"issued":{"date-parts":[["2012"]]}}},{"id":409,"uris":["http://zotero.org/users/local/wdQKiz3s/items/D67TUHV6"],"uri":["http://zotero.org/users/local/wdQKiz3s/items/D67TUHV6"],"itemData":{"id":409,"type":"article-journal","abstract":"Keys to the rapid antidepressant action of ketamine\nKetamine is a clinically used “dissociative analgesic” for pain management and a rapidly acting antidepressant for patients that have not responded to other treatments. Ketamine enhances the activity of AMPA-type glutamate receptors. Zhang et al. showed that this is an indirect effect, involving inhibition of presynaptic NMDA receptors and reduced activity of HCN1 (hyperpolarization-activated cyclic nucleotide–gated channel 1). Ketamine stimulated the phosphorylation of the GluA1 subunit of the postsynaptic AMPA receptors, and mice with a form of this subunit that lacked the phosphorylation site exhibited neither the electrophysiological effects of ketamine nor the antidepressant effects of ketamine. Ketamine was ineffective in changing behavioral responses in mice lacking presynaptic CA3 NMDA receptors or HCN1 channels, and the electrophysiological analysis indicated that ketamine inhibited presynaptic NMDA receptors to reduce HCN1 function, which would promote glutamate release and increase AMPA receptor phosphorylation and activity. This study puts the mechanism of ketamine action on the presynaptic side of the synapse.\nAlthough the molecular mechanism is not clear, the clinically tested drug ketamine has rapid antidepressant action that does not require the multiple weeks of treatment needed for other antidepressant drugs to have an effect. We showed that ketamine potentiated Schaffer collateral–CA1 cell excitatory synaptic transmission in hippocampal slice preparations from rodents and enhanced the phosphorylation of the GluA1 subunit on Ser845 of the AMPA-type glutamate receptor in the hippocampal area CA1. These effects persisted when γ-aminobutyric acid (GABA) receptors were pharmacologically blocked. Ketamine reduced behavioral despair in wild-type mice but had no effect in GluA1 S845A knock-in mutant mice. Presynaptic (CA3 pyramidal cell), but not postsynaptic (CA1 pyramidal cell), deletion of N-methyl-d-aspartate (NMDA)–type glutamate receptors eliminated the ketamine-induced enhancement of excitatory synaptic transmission in hippocampal slices and the antidepressant actions of ketamine in mice. The synaptic and behavioral actions of ketamine were completely occluded by inhibition or deletion of the hyperpolarization-activated cyclic nucleotide–gated channel 1 (HCN1). Our results implicate presynaptic NMDA receptor inhibition followed by reduced activity of presynaptic HCN1 channels, which would result in an increase in glutamate release and postsynaptic glutamate receptor activity, as a mechanism of ketamine action. These data provide a mechanism for changes in synaptic activity that could explain the fast-acting antidepressant effects of this drug.\nKetamine alters presynaptic channels in the hippocampus to mediate fast-acting antidepressant action.\nKetamine alters presynaptic channels in the hippocampus to mediate fast-acting antidepressant action.","container-title":"Science Signaling","DOI":"10.1126/scisignal.aai7884","ISSN":"1945-0877, 1937-9145","issue":"458","journalAbbreviation":"Sci. Signal.","language":"en","note":"publisher: American Association for the Advancement of Science\nsection: Research Article\nPMID: 27965425","page":"ra123-ra123","source":"stke.sciencemag.org","title":"Essential roles of AMPA receptor GluA1 phosphorylation and presynaptic HCN channels in fast-acting antidepressant responses of ketamine","volume":"9","author":[{"family":"Zhang","given":"Ke"},{"family":"Xu","given":"Ting"},{"family":"Yuan","given":"Zhongmin"},{"family":"Wei","given":"Zhisheng"},{"family":"Yamaki","given":"Vitor Nagai"},{"family":"Huang","given":"Mingfa"},{"family":"Huganir","given":"Richard L."},{"family":"Cai","given":"Xiang"}],"issued":{"date-parts":[["2016",12,13]]}}},{"id":400,"uris":["http://zotero.org/users/local/wdQKiz3s/items/VUE9IIYG"],"uri":["http://zotero.org/users/local/wdQKiz3s/items/VUE9IIYG"],"itemData":{"id":400,"type":"article-journal","abstract":"Background\nPost-traumatic stress disorder (PTSD) is commonly associated with concurrent anxiety and depression symptoms, and reduce the expression of the Brain-Derived Neurotrophic Factor (BDNF) which promotes the proliferation and survival of neurons. The hyperpolarization-activated cyclic nucleotide-gated channel 1(HCN1) could be inhibited by the ketamine, a drug to alleviate depression and anxiety, and regulated the BDNF expression, however, the effects of ketamine in alleviating PTSD symptoms by regulating the HCN1-related BDNF have been poorly perceived.\nMethods\nIn the present study, the effects of ketamine were examined on the PTSD-like effects in a rat model of PTSD induced by SPS&amp;S procedure. After the SPS&amp;S procedure and model testing, PTSD rats were subjected to behavioral testing and biochemical assessments, followed by single treatment with certain doses of ketamine (5, 10, 15 and 20 mg/kg IP).\nResults\nThe results showed that the SPS&amp;S procedure induced severe PTSD-like behaviors, with lower levels of BDNF protein levels and higher level of the HCN1 protein in the prefrontal cortex (PFC). These were reversed by a single administration of ketamine. The ketamine with dose of 15 mg/kg significantly increased locomotor behavior in the open field test, aggrandized exploratory behavior in the elevated plus maze test, and decreased immobility time spent in the forced swim test. Meanwhile, ketamine with dose of 15 mg/kg could increase the BDNF protein level, while down-regulate the expression of the HCN1. Eventually, there was a negative correlation between the level of BDNF and HCN1 in the PFC.\nConclusion\nKetamine affects the HCN1-related BDNF signaling pathways to alleviate PTSD-like effects in rat.","container-title":"Progress in Neuro-Psychopharmacology and Biological Psychiatry","DOI":"10.1016/j.pnpbp.2018.03.019","ISSN":"0278-5846","journalAbbreviation":"Progress in Neuro-Psychopharmacology and Biological Psychiatry","language":"en","page":"313-321","source":"ScienceDirect","title":"Applying ketamine to alleviate the PTSD-like effects by regulating the HCN1-related BDNF","volume":"86","author":[{"family":"Hou","given":"Lanwei"},{"family":"Qi","given":"Yirui"},{"family":"Sun","given":"Hongwei"},{"family":"Wang","given":"Gang"},{"family":"Li","given":"Qi"},{"family":"Wang","given":"Yanyu"},{"family":"Zhang","given":"Zuoji"},{"family":"Du","given":"Zhongde"},{"family":"Sun","given":"Lin"}],"issued":{"date-parts":[["2018",8,30]]}}}],"schema":"https://github.com/citation-style-language/schema/raw/master/csl-citation.json"} </w:instrText>
      </w:r>
      <w:r>
        <w:fldChar w:fldCharType="separate"/>
      </w:r>
      <w:r>
        <w:rPr>
          <w:noProof/>
        </w:rPr>
        <w:t>(Andero and Ressler 2012; Zhang et al. 2016; Hou et al. 2018)</w:t>
      </w:r>
      <w:r>
        <w:fldChar w:fldCharType="end"/>
      </w:r>
      <w:r>
        <w:t xml:space="preserve">. </w:t>
      </w:r>
      <w:r w:rsidR="0096642E">
        <w:t>Specifically, k</w:t>
      </w:r>
      <w:r w:rsidR="00B42EB6">
        <w:t>etamine</w:t>
      </w:r>
      <w:r w:rsidR="00B55283">
        <w:t xml:space="preserve"> </w:t>
      </w:r>
      <w:r>
        <w:t>administered intravenously a</w:t>
      </w:r>
      <w:r w:rsidR="00B42EB6">
        <w:t>t a</w:t>
      </w:r>
      <w:r>
        <w:t xml:space="preserve"> </w:t>
      </w:r>
      <w:r w:rsidRPr="007E1701">
        <w:t>dose of 15 mg/kg</w:t>
      </w:r>
      <w:r w:rsidR="00205656">
        <w:t xml:space="preserve"> was found to</w:t>
      </w:r>
      <w:r w:rsidRPr="007E1701">
        <w:t xml:space="preserve"> up-regulate</w:t>
      </w:r>
      <w:r w:rsidR="00B42EB6">
        <w:t>d</w:t>
      </w:r>
      <w:r w:rsidRPr="007E1701">
        <w:t xml:space="preserve"> the </w:t>
      </w:r>
      <w:r>
        <w:t xml:space="preserve">BDNF </w:t>
      </w:r>
      <w:r w:rsidRPr="007E1701">
        <w:t xml:space="preserve">protein levels </w:t>
      </w:r>
      <w:r>
        <w:t>by</w:t>
      </w:r>
      <w:r w:rsidRPr="007E1701">
        <w:t xml:space="preserve"> inhibiting the expression of </w:t>
      </w:r>
      <w:r w:rsidR="00742AF1">
        <w:t xml:space="preserve">hyperpolarization </w:t>
      </w:r>
      <w:r w:rsidR="0048004D">
        <w:t>activated cyclic nucleotide gated potassium channel 1 (</w:t>
      </w:r>
      <w:r>
        <w:t>HCN1</w:t>
      </w:r>
      <w:r w:rsidR="0048004D">
        <w:t>)</w:t>
      </w:r>
      <w:r>
        <w:t xml:space="preserve"> protein </w:t>
      </w:r>
      <w:r w:rsidR="00B42EB6">
        <w:t>that</w:t>
      </w:r>
      <w:r>
        <w:t xml:space="preserve"> adverse</w:t>
      </w:r>
      <w:r w:rsidR="00B42EB6">
        <w:t>ly</w:t>
      </w:r>
      <w:r>
        <w:t xml:space="preserve"> </w:t>
      </w:r>
      <w:r w:rsidR="00B42EB6">
        <w:t>a</w:t>
      </w:r>
      <w:r>
        <w:t xml:space="preserve">ffects neuron survivability </w:t>
      </w:r>
      <w:r>
        <w:fldChar w:fldCharType="begin"/>
      </w:r>
      <w:r>
        <w:instrText xml:space="preserve"> ADDIN ZOTERO_ITEM CSL_CITATION {"citationID":"IOI42dBt","properties":{"formattedCitation":"(Hou et al. 2018)","plainCitation":"(Hou et al. 2018)","noteIndex":0},"citationItems":[{"id":400,"uris":["http://zotero.org/users/local/wdQKiz3s/items/VUE9IIYG"],"uri":["http://zotero.org/users/local/wdQKiz3s/items/VUE9IIYG"],"itemData":{"id":400,"type":"article-journal","abstract":"Background\nPost-traumatic stress disorder (PTSD) is commonly associated with concurrent anxiety and depression symptoms, and reduce the expression of the Brain-Derived Neurotrophic Factor (BDNF) which promotes the proliferation and survival of neurons. The hyperpolarization-activated cyclic nucleotide-gated channel 1(HCN1) could be inhibited by the ketamine, a drug to alleviate depression and anxiety, and regulated the BDNF expression, however, the effects of ketamine in alleviating PTSD symptoms by regulating the HCN1-related BDNF have been poorly perceived.\nMethods\nIn the present study, the effects of ketamine were examined on the PTSD-like effects in a rat model of PTSD induced by SPS&amp;S procedure. After the SPS&amp;S procedure and model testing, PTSD rats were subjected to behavioral testing and biochemical assessments, followed by single treatment with certain doses of ketamine (5, 10, 15 and 20 mg/kg IP).\nResults\nThe results showed that the SPS&amp;S procedure induced severe PTSD-like behaviors, with lower levels of BDNF protein levels and higher level of the HCN1 protein in the prefrontal cortex (PFC). These were reversed by a single administration of ketamine. The ketamine with dose of 15 mg/kg significantly increased locomotor behavior in the open field test, aggrandized exploratory behavior in the elevated plus maze test, and decreased immobility time spent in the forced swim test. Meanwhile, ketamine with dose of 15 mg/kg could increase the BDNF protein level, while down-regulate the expression of the HCN1. Eventually, there was a negative correlation between the level of BDNF and HCN1 in the PFC.\nConclusion\nKetamine affects the HCN1-related BDNF signaling pathways to alleviate PTSD-like effects in rat.","container-title":"Progress in Neuro-Psychopharmacology and Biological Psychiatry","DOI":"10.1016/j.pnpbp.2018.03.019","ISSN":"0278-5846","journalAbbreviation":"Progress in Neuro-Psychopharmacology and Biological Psychiatry","language":"en","page":"313-321","source":"ScienceDirect","title":"Applying ketamine to alleviate the PTSD-like effects by regulating the HCN1-related BDNF","volume":"86","author":[{"family":"Hou","given":"Lanwei"},{"family":"Qi","given":"Yirui"},{"family":"Sun","given":"Hongwei"},{"family":"Wang","given":"Gang"},{"family":"Li","given":"Qi"},{"family":"Wang","given":"Yanyu"},{"family":"Zhang","given":"Zuoji"},{"family":"Du","given":"Zhongde"},{"family":"Sun","given":"Lin"}],"issued":{"date-parts":[["2018",8,30]]}}}],"schema":"https://github.com/citation-style-language/schema/raw/master/csl-citation.json"} </w:instrText>
      </w:r>
      <w:r>
        <w:fldChar w:fldCharType="separate"/>
      </w:r>
      <w:r>
        <w:rPr>
          <w:noProof/>
        </w:rPr>
        <w:t>(Hou et al. 2018)</w:t>
      </w:r>
      <w:r>
        <w:fldChar w:fldCharType="end"/>
      </w:r>
      <w:r>
        <w:t>.</w:t>
      </w:r>
      <w:r w:rsidR="00DD3C7B">
        <w:t xml:space="preserve"> Ketamine</w:t>
      </w:r>
      <w:r w:rsidR="00B55283">
        <w:t xml:space="preserve"> is </w:t>
      </w:r>
      <w:r w:rsidRPr="007E1701">
        <w:t xml:space="preserve">an </w:t>
      </w:r>
      <w:r w:rsidR="00B55283">
        <w:t xml:space="preserve">antagonist of </w:t>
      </w:r>
      <w:r w:rsidR="00B55283">
        <w:lastRenderedPageBreak/>
        <w:t xml:space="preserve">the </w:t>
      </w:r>
      <w:r w:rsidRPr="007E1701">
        <w:rPr>
          <w:i/>
          <w:iCs/>
        </w:rPr>
        <w:t>N</w:t>
      </w:r>
      <w:r w:rsidRPr="007E1701">
        <w:t>-methyl-d-aspartate (NMDA) receptor,</w:t>
      </w:r>
      <w:r w:rsidR="00127378">
        <w:t xml:space="preserve"> and</w:t>
      </w:r>
      <w:r w:rsidRPr="007E1701">
        <w:t xml:space="preserve"> </w:t>
      </w:r>
      <w:r w:rsidR="00DD3C7B">
        <w:t xml:space="preserve">also </w:t>
      </w:r>
      <w:r>
        <w:t>has</w:t>
      </w:r>
      <w:r w:rsidRPr="007E1701">
        <w:t xml:space="preserve"> anxiolytic- and antidepressant-like effects in rodents </w:t>
      </w:r>
      <w:r>
        <w:fldChar w:fldCharType="begin"/>
      </w:r>
      <w:r>
        <w:instrText xml:space="preserve"> ADDIN ZOTERO_ITEM CSL_CITATION {"citationID":"igQVdMwx","properties":{"formattedCitation":"(Kos et al. 2006; Ardalan et al. 2017)","plainCitation":"(Kos et al. 2006; Ardalan et al. 2017)","noteIndex":0},"citationItems":[{"id":415,"uris":["http://zotero.org/users/local/wdQKiz3s/items/KBMWH2IG"],"uri":["http://zotero.org/users/local/wdQKiz3s/items/KBMWH2IG"],"itemData":{"id":415,"type":"article-journal","abstract":"Phencyclidine and ketamine (but not other NMDA channel blockers, such as memantine) produce psychotomimetic effects. Since unlike memantine, phencyclidine-like compounds show no significant affinity at 5-HT3 receptors, we investigated if behavioral effects of ketamine could be reduced by 5HT3 receptor blockade. Ketamine (3–40 mg/kg) produced ataxia, stereotypes and diminished exploratory activity in mice, and reduced prepulse inhibition of acoustic startle response, lowered accuracy in fixed consecutive number and in delayed non-matching-to-sample tasks in rats. The 5HT3 receptor antagonist MDL 72222 (0.3–3 mg/kg) administration did not reverse any of these deficits and exerted no effects on discriminative stimulus properties of ketamine. In the tail suspension test, both ketamine and MDL 72222 produced anti-immobility effects when given alone (50–66 and 3 mg/kg, respectively) and together (12.5–25 and 1 mg/kg). The present data suggest that 5-HT3 receptor blockade does not reverse the behavioral deficits of ketamine and may even enhance its certain effects, such as the antidepressant-like action.","container-title":"European Neuropsychopharmacology","DOI":"10.1016/j.euroneuro.2005.10.001","ISSN":"0924-977X","issue":"4","journalAbbreviation":"European Neuropsychopharmacology","language":"en","page":"297-310","source":"ScienceDirect","title":"Effect of 5-HT3 receptor antagonist MDL 72222 on behaviors induced by ketamine in rats and mice","volume":"16","author":[{"family":"Kos","given":"T."},{"family":"Popik","given":"P."},{"family":"Pietraszek","given":"M."},{"family":"Schäfer","given":"D."},{"family":"Danysz","given":"W."},{"family":"Dravolina","given":"O."},{"family":"Blokhina","given":"E."},{"family":"Galankin","given":"T."},{"family":"Bespalov","given":"A. Y."}],"issued":{"date-parts":[["2006",5,1]]}}},{"id":413,"uris":["http://zotero.org/users/local/wdQKiz3s/items/6X7K8A44"],"uri":["http://zotero.org/users/local/wdQKiz3s/items/6X7K8A44"],"itemData":{"id":413,"type":"article-journal","abstract":"Background and purpose Astroglia contribute to the pathophysiology of major depression and antidepressant drugs act by modulating synaptic plasticity; therefore, the present study investigated whether the fast antidepressant action of ketamine is reflected in a rapid alteration of the astrocytes’ morphology in a genetic animal model of depression. Experimental Approach S-Ketamine (15 mg·kg−1) or saline was administered as a single injection to Flinders Line (FSL/ FRL) rats. Twenty-four hours after the treatment, perfusion fixation was carried out and the morphology of glial fibrillary acid protein (GFAP)-positive astrocytes in the CA1 stratum radiatum (CA1.SR) and the molecular layer of the dentate gyrus (GCL) of the hippocampus was investigated by applying stereological techniques and analysis with Imaris software. The depressive-like behaviour of animals was also evaluated using forced swim test. Key Results FSL rats treated with ketamine exhibited a significant reduction in immobility time in comparison with the FSL-vehicle group. The volumes of the hippocampal CA1.SR and GCL regions were significantly increased 1 day after ketamine treatment in the FSL rats. The size of astrocytes in the ketamine-treated FSL rats was larger than those in the FSL-vehicle group. Additionally, the number and length of the astrocytic processes in the CA1.SR region were significantly increased 1 day following ketamine treatment. Conclusions and Implications Our results support the hypothesis that astroglial atrophy contributes to the pathophysiology of depression and a morphological modification of astrocytes could be one mechanism by which ketamine rapidly improves depressive behaviour.","container-title":"British Journal of Pharmacology","DOI":"10.1111/bph.13714","ISSN":"1476-5381","issue":"6","language":"en","note":"_eprint: https://bpspubs.onlinelibrary.wiley.com/doi/pdf/10.1111/bph.13714","page":"483-492","source":"Wiley Online Library","title":"Rapid antidepressant effect of ketamine correlates with astroglial plasticity in the hippocampus","volume":"174","author":[{"family":"Ardalan","given":"Maryam"},{"family":"Rafati","given":"Ali H."},{"family":"Nyengaard","given":"Jens R."},{"family":"Wegener","given":"Gregers"}],"issued":{"date-parts":[["2017"]]}}}],"schema":"https://github.com/citation-style-language/schema/raw/master/csl-citation.json"} </w:instrText>
      </w:r>
      <w:r>
        <w:fldChar w:fldCharType="separate"/>
      </w:r>
      <w:r>
        <w:rPr>
          <w:noProof/>
        </w:rPr>
        <w:t>(Kos et al. 2006; Ardalan et al. 2017)</w:t>
      </w:r>
      <w:r>
        <w:fldChar w:fldCharType="end"/>
      </w:r>
      <w:r>
        <w:t xml:space="preserve">. </w:t>
      </w:r>
      <w:r w:rsidR="0071493F">
        <w:t xml:space="preserve">NMDA </w:t>
      </w:r>
      <w:r w:rsidR="00E4648F">
        <w:t xml:space="preserve">receptor </w:t>
      </w:r>
      <w:r w:rsidR="00A05F53">
        <w:t>is found</w:t>
      </w:r>
      <w:r w:rsidR="00823BE7">
        <w:t xml:space="preserve"> in the central nervous system (CNS)</w:t>
      </w:r>
      <w:r w:rsidR="009F2034">
        <w:t>,</w:t>
      </w:r>
      <w:r w:rsidR="00823BE7">
        <w:t xml:space="preserve"> </w:t>
      </w:r>
      <w:r w:rsidR="009F2034">
        <w:t xml:space="preserve">and is linked </w:t>
      </w:r>
      <w:r w:rsidR="00BA4D10">
        <w:t>to</w:t>
      </w:r>
      <w:r w:rsidR="00714776">
        <w:t xml:space="preserve"> the HPA axis </w:t>
      </w:r>
      <w:r w:rsidR="00DC4DFB">
        <w:t xml:space="preserve">where it </w:t>
      </w:r>
      <w:r w:rsidR="00BA4D10">
        <w:t xml:space="preserve">binds the neurotransmitter </w:t>
      </w:r>
      <w:r w:rsidR="00D91BF2">
        <w:t xml:space="preserve">glutamate and has a modulatory effect on CRH </w:t>
      </w:r>
      <w:r w:rsidR="00DC4DFB">
        <w:t xml:space="preserve">release </w:t>
      </w:r>
      <w:r w:rsidR="00B71B27">
        <w:fldChar w:fldCharType="begin"/>
      </w:r>
      <w:r w:rsidR="00210A17">
        <w:instrText xml:space="preserve"> ADDIN ZOTERO_ITEM CSL_CITATION {"citationID":"wveiWOMq","properties":{"formattedCitation":"(Ravindran and Stein 2009)","plainCitation":"(Ravindran and Stein 2009)","noteIndex":0},"citationItems":[{"id":741,"uris":["http://zotero.org/users/local/wdQKiz3s/items/B3BF763H"],"uri":["http://zotero.org/users/local/wdQKiz3s/items/B3BF763H"],"itemData":{"id":741,"type":"article-journal","abstract":"Post-traumatic stress disorder (PTSD) is a prevalent anxiety disorder that results in multiple disabling symptoms. Research into the underlying neurobiology has implicated dysregulation in multiple neurotransmitter systems including norepinephrine, serotonin, and glutamate as well as the hypothalamic-pituitary axis. Understanding how these biological systems interact with each other and how they may affect key neural structures, such as the amygdala, hippocampus, and prefrontal cortex, to produce post-traumatic symptoms is critical for the development of effective pharmacological treatments. We briefly discuss the proposed biological dysfunctions underlying PTSD and how agents that target these dysfunctions may be utilized in PTSD. We then provide a review of the different pharmacological agents that have been investigated in PTSD. These drugs include: antidepressants, anti-adrenergic agents, anticonvulsants, benzodiazepines, atypical antipsychotics, and novel agents.","container-title":"Brain research","DOI":"10.1016/j.brainres.2009.03.037","ISSN":"0006-8993","journalAbbreviation":"Brain Res","note":"PMID: 19332035\nPMCID: PMC2748176","page":"24-39","source":"PubMed Central","title":"Pharmacotherapy of PTSD: Premises, Principles, and Priorities","title-short":"Pharmacotherapy of PTSD","volume":"1293","author":[{"family":"Ravindran","given":"Lakshmi N."},{"family":"Stein","given":"Murray B."}],"issued":{"date-parts":[["2009",10,13]]}}}],"schema":"https://github.com/citation-style-language/schema/raw/master/csl-citation.json"} </w:instrText>
      </w:r>
      <w:r w:rsidR="00B71B27">
        <w:fldChar w:fldCharType="separate"/>
      </w:r>
      <w:r w:rsidR="00210A17">
        <w:rPr>
          <w:noProof/>
        </w:rPr>
        <w:t>(Ravindran and Stein 2009)</w:t>
      </w:r>
      <w:r w:rsidR="00B71B27">
        <w:fldChar w:fldCharType="end"/>
      </w:r>
      <w:r w:rsidR="003367FD">
        <w:t xml:space="preserve">. </w:t>
      </w:r>
      <w:r w:rsidR="00520E37">
        <w:t xml:space="preserve">Following a traumatic event, </w:t>
      </w:r>
      <w:r w:rsidR="00DF70F4">
        <w:t xml:space="preserve">increased </w:t>
      </w:r>
      <w:r w:rsidR="00520E37">
        <w:t>g</w:t>
      </w:r>
      <w:r w:rsidR="005F4E9D">
        <w:t xml:space="preserve">lutamate </w:t>
      </w:r>
      <w:r w:rsidR="00DF70F4">
        <w:t xml:space="preserve">concentrations cause continuous </w:t>
      </w:r>
      <w:r w:rsidR="007B781A">
        <w:t xml:space="preserve">activation of </w:t>
      </w:r>
      <w:r w:rsidR="001A589D">
        <w:t>NMDA receptors</w:t>
      </w:r>
      <w:r w:rsidR="007B781A">
        <w:t xml:space="preserve">, which leads to </w:t>
      </w:r>
      <w:r w:rsidR="00176EA5">
        <w:t xml:space="preserve">formation of fear-based memories </w:t>
      </w:r>
      <w:r w:rsidR="00607D10">
        <w:fldChar w:fldCharType="begin"/>
      </w:r>
      <w:r w:rsidR="00607D10">
        <w:instrText xml:space="preserve"> ADDIN ZOTERO_ITEM CSL_CITATION {"citationID":"K1tEMDRV","properties":{"formattedCitation":"(Krystal et al. 1994)","plainCitation":"(Krystal et al. 1994)","noteIndex":0},"citationItems":[{"id":744,"uris":["http://zotero.org/users/local/wdQKiz3s/items/2XDRDLEH"],"uri":["http://zotero.org/users/local/wdQKiz3s/items/2XDRDLEH"],"itemData":{"id":744,"type":"article-journal","abstract":"To characterize further behavioral, cognitive, neuroendocrine, and physiological effects of subanesthetic doses of ketamine hydrochloride in healthy human subjects. Ketamine, a phencyclidine hydrochloride derivative, is a dissociative anesthetic and a noncompetitive antagonist of the N-methyl-D-aspartate subtype of excitatory amino acid receptor.Nineteen healthy subjects recruited by advertisements from the community participated in this randomized, double-blind, placebo-controlled study. Subjects completed three test days involving the 40-minute intravenous administration of placebo, ketamine hydrochloride (0.1 mg/kg), or ketamine hydrochloride (0.5 mg/kg). Behaviors associated with the positive and negative symptoms of schizophrenia were assessed by using the Brief Psychiatric Rating Scale. Changes in perception and behaviors associated with dissociative states were assessed by the Perceptual Aberration Subscale of the Wisconsin Psychosis Proneness Scale and the Clinician-Administered Dissociative States Scale. Cognitive function was assessed by using the (1) Mini-Mental State Examination; (2) tests sensitive to frontal cortical dysfunction, including a continuous performance vigilance task, a verbal fluency task, and the Wisconsin Card Sorting Test; and (3) tests of immediate and delayed recall. Plasma levels of cortisol, prolactin, homovanillic acid, and 3-methoxy-4-hydroxyphenethyleneglycol were measured.Ketamine (1) produced behaviors similar to the positive and negative symptoms of schizophrenia; (2) elicited alterations in perception; (3) impaired performance on tests of vigilance, verbal fluency, and the Wisconsin Card Sorting Test; (4) evoked symptoms similar to dissociative states; and (5) preferentially disrupted delayed word recall, sparing immediate recall and postdistraction recall. Ketamine had no significant effect on the Mini-Mental State Examination at the doses studied. Ketamine also had no effect on plasma 3-methoxy-4hydroxyphenethyleneglycol levels, although it blunted a test day decline in plasma homovanillic acid levels at the higher dose. It also dose dependently increased plasma cortisol and prolactin levels. Ketamine produced small dose-dependent increases in blood pressure.These data indicate that N-methyl-Daspartate antagonists produce a broad range of symptoms, behaviors, and cognitive deficits that resemble aspects of endogenous psychoses, particularly schizophrenia and dissociative states.","container-title":"Archives of General Psychiatry","DOI":"10.1001/archpsyc.1994.03950030035004","ISSN":"0003-990X","issue":"3","journalAbbreviation":"Archives of General Psychiatry","page":"199-214","source":"Silverchair","title":"Subanesthetic Effects of the Noncompetitive NMDA Antagonist, Ketamine, in Humans: Psychotomimetic, Perceptual, Cognitive, and Neuroendocrine Responses","title-short":"Subanesthetic Effects of the Noncompetitive NMDA Antagonist, Ketamine, in Humans","volume":"51","author":[{"family":"Krystal","given":"John H."},{"family":"Karper","given":"Laurence P."},{"family":"Seibyl","given":"John P."},{"family":"Freeman","given":"Glenna K."},{"family":"Delaney","given":"Richard"},{"family":"Bremner","given":"J. Douglas"},{"family":"Heninger","given":"George R."},{"family":"Bowers","given":"Malcolm B.","suffix":"Jr"},{"family":"Charney","given":"Dennis S."}],"issued":{"date-parts":[["1994",3,1]]}}}],"schema":"https://github.com/citation-style-language/schema/raw/master/csl-citation.json"} </w:instrText>
      </w:r>
      <w:r w:rsidR="00607D10">
        <w:fldChar w:fldCharType="separate"/>
      </w:r>
      <w:r w:rsidR="00607D10">
        <w:rPr>
          <w:noProof/>
        </w:rPr>
        <w:t>(Krystal et al. 1994)</w:t>
      </w:r>
      <w:r w:rsidR="00607D10">
        <w:fldChar w:fldCharType="end"/>
      </w:r>
      <w:r w:rsidR="00E64B98">
        <w:t xml:space="preserve"> and can eventually have neurotoxic effects that involve neuronal cell death</w:t>
      </w:r>
      <w:r w:rsidR="00607D10">
        <w:t xml:space="preserve">. </w:t>
      </w:r>
      <w:r w:rsidR="00496817">
        <w:t>Ketamine</w:t>
      </w:r>
      <w:r>
        <w:t xml:space="preserve"> </w:t>
      </w:r>
      <w:r w:rsidR="00201424">
        <w:t>decrease</w:t>
      </w:r>
      <w:r w:rsidR="00F42061">
        <w:t>s</w:t>
      </w:r>
      <w:r w:rsidR="00201424">
        <w:t xml:space="preserve"> </w:t>
      </w:r>
      <w:r w:rsidR="00A73B33">
        <w:t xml:space="preserve">this </w:t>
      </w:r>
      <w:r w:rsidR="00201424">
        <w:t>neurotoxic</w:t>
      </w:r>
      <w:r w:rsidR="00A73B33">
        <w:t xml:space="preserve"> effect of elevated</w:t>
      </w:r>
      <w:r w:rsidR="00201424">
        <w:t xml:space="preserve"> </w:t>
      </w:r>
      <w:r w:rsidR="005923D8">
        <w:t xml:space="preserve">glutamate concentrations by inhibiting NMDA receptors. Ketamine </w:t>
      </w:r>
      <w:r>
        <w:t>improve</w:t>
      </w:r>
      <w:r w:rsidR="00DD3C7B">
        <w:t>d</w:t>
      </w:r>
      <w:r>
        <w:t xml:space="preserve"> overall neurological health</w:t>
      </w:r>
      <w:r w:rsidR="005923D8">
        <w:t xml:space="preserve"> in </w:t>
      </w:r>
      <w:r w:rsidR="00FE25CB">
        <w:t>several rodent models</w:t>
      </w:r>
      <w:r w:rsidR="00467935">
        <w:t xml:space="preserve"> (Kos et al. 2006; </w:t>
      </w:r>
      <w:proofErr w:type="spellStart"/>
      <w:r w:rsidR="00224B3F">
        <w:t>Ardalan</w:t>
      </w:r>
      <w:proofErr w:type="spellEnd"/>
      <w:r w:rsidR="00224B3F">
        <w:t xml:space="preserve"> et al. 2017)</w:t>
      </w:r>
      <w:r>
        <w:t xml:space="preserve">. </w:t>
      </w:r>
      <w:r w:rsidR="00DD3C7B">
        <w:t>B</w:t>
      </w:r>
      <w:r>
        <w:t xml:space="preserve">efore Ketamine </w:t>
      </w:r>
      <w:r w:rsidR="00DD3C7B">
        <w:t>can be</w:t>
      </w:r>
      <w:r>
        <w:t xml:space="preserve"> used to treat humans </w:t>
      </w:r>
      <w:r w:rsidR="00FE25CB">
        <w:t>with PTSD</w:t>
      </w:r>
      <w:r w:rsidR="00DD3C7B">
        <w:t xml:space="preserve">, the effect of </w:t>
      </w:r>
      <w:r>
        <w:t>dose and delivery method on BDNF protein levels</w:t>
      </w:r>
      <w:r w:rsidR="00DD3C7B">
        <w:t xml:space="preserve"> must be determined for humans</w:t>
      </w:r>
      <w:r>
        <w:t xml:space="preserve"> </w:t>
      </w:r>
      <w:r>
        <w:fldChar w:fldCharType="begin"/>
      </w:r>
      <w:r>
        <w:instrText xml:space="preserve"> ADDIN ZOTERO_ITEM CSL_CITATION {"citationID":"ZPhQDBqj","properties":{"formattedCitation":"(Feder et al. 2014)","plainCitation":"(Feder et al. 2014)","noteIndex":0},"citationItems":[{"id":419,"uris":["http://zotero.org/users/local/wdQKiz3s/items/JUMDMPR4"],"uri":["http://zotero.org/users/local/wdQKiz3s/items/JUMDMPR4"],"itemData":{"id":419,"type":"article-journal","abstract":"&lt;h3&gt;Importance&lt;/h3&gt;&lt;p&gt;Few pharmacotherapies have demonstrated sufficient efficacy in the treatment of posttraumatic stress disorder (PTSD), a chronic and disabling condition.&lt;/p&gt;&lt;h3&gt;Objective&lt;/h3&gt;&lt;p&gt;To test the efficacy and safety of a single intravenous subanesthetic dose of ketamine for the treatment of PTSD and associated depressive symptoms in patients with chronic PTSD.&lt;/p&gt;&lt;h3&gt;Design, Setting, and Participants&lt;/h3&gt;&lt;p&gt;Proof-of-concept, randomized, double-blind, crossover trial comparing ketamine with an active placebo control, midazolam, conducted at a single site (Icahn School of Medicine at Mount Sinai, New York, New York). Forty-one patients with chronic PTSD related to a range of trauma exposures were recruited via advertisements.&lt;/p&gt;&lt;h3&gt;Interventions&lt;/h3&gt;&lt;p&gt;Intravenous infusion of ketamine hydrochloride (0.5 mg/kg) and midazolam (0.045 mg/kg).&lt;/p&gt;&lt;h3&gt;Main Outcomes and Measures&lt;/h3&gt;&lt;p&gt;The primary outcome measure was change in PTSD symptom severity, measured using the Impact of Event Scale–Revised. Secondary outcome measures included the Montgomery-Asberg Depression Rating Scale, the Clinical Global Impression–Severity and –Improvement scales, and adverse effect measures, including the Clinician-Administered Dissociative States Scale, the Brief Psychiatric Rating Scale, and the Young Mania Rating Scale.&lt;/p&gt;&lt;h3&gt;Results&lt;/h3&gt;&lt;p&gt;Ketamine infusion was associated with significant and rapid reduction in PTSD symptom severity, compared with midazolam, when assessed 24 hours after infusion (mean difference in Impact of Event Scale–Revised score, 12.7 [95% CI, 2.5-22.8];&lt;i&gt;P&lt;/i&gt; = .02). Greater reduction of PTSD symptoms following treatment with ketamine was evident in both crossover and first-period analyses, and remained significant after adjusting for baseline and 24-hour depressive symptom severity. Ketamine was also associated with reduction in comorbid depressive symptoms and with improvement in overall clinical presentation. Ketamine was generally well tolerated without clinically significant persistent dissociative symptoms.&lt;/p&gt;&lt;h3&gt;Conclusions and Relevance&lt;/h3&gt;&lt;p&gt;This study provides the first evidence for rapid reduction in symptom severity following ketamine infusion in patients with chronic PTSD. If replicated, these findings may lead to novel approaches to the pharmacologic treatment of patients with this disabling condition.&lt;/p&gt;&lt;h3&gt;Trial Registration&lt;/h3&gt;&lt;p&gt;clinicaltrials.gov Identifier:NCT00749203&lt;/p&gt;","container-title":"JAMA Psychiatry","DOI":"10.1001/jamapsychiatry.2014.62","ISSN":"2168-622X","issue":"6","journalAbbreviation":"JAMA Psychiatry","language":"en","note":"publisher: American Medical Association","page":"681-688","source":"jamanetwork.com","title":"Efficacy of Intravenous Ketamine for Treatment of Chronic Posttraumatic Stress Disorder: A Randomized Clinical Trial","title-short":"Efficacy of Intravenous Ketamine for Treatment of Chronic Posttraumatic Stress Disorder","volume":"71","author":[{"family":"Feder","given":"Adriana"},{"family":"Parides","given":"Michael K."},{"family":"Murrough","given":"James W."},{"family":"Perez","given":"Andrew M."},{"family":"Morgan","given":"Julia E."},{"family":"Saxena","given":"Shireen"},{"family":"Kirkwood","given":"Katherine"},{"family":"Rot","given":"Marije","dropping-particle":"aan het"},{"family":"Lapidus","given":"Kyle A. B."},{"family":"Wan","given":"Le-Ben"},{"family":"Iosifescu","given":"Dan"},{"family":"Charney","given":"Dennis S."}],"issued":{"date-parts":[["2014",6,1]]}}}],"schema":"https://github.com/citation-style-language/schema/raw/master/csl-citation.json"} </w:instrText>
      </w:r>
      <w:r>
        <w:fldChar w:fldCharType="separate"/>
      </w:r>
      <w:r>
        <w:rPr>
          <w:noProof/>
        </w:rPr>
        <w:t>(Feder et al. 2014)</w:t>
      </w:r>
      <w:r>
        <w:fldChar w:fldCharType="end"/>
      </w:r>
      <w:r w:rsidR="00DD3C7B">
        <w:t xml:space="preserve">, and possible </w:t>
      </w:r>
      <w:r>
        <w:t>side-effects</w:t>
      </w:r>
      <w:r w:rsidR="002B669D">
        <w:t xml:space="preserve"> addressed</w:t>
      </w:r>
      <w:r w:rsidR="00DD3C7B">
        <w:t xml:space="preserve">. </w:t>
      </w:r>
    </w:p>
    <w:p w14:paraId="48502923" w14:textId="4891914C" w:rsidR="00773AF5" w:rsidRPr="00447517" w:rsidRDefault="00773AF5" w:rsidP="007A1D40">
      <w:pPr>
        <w:spacing w:line="480" w:lineRule="auto"/>
        <w:rPr>
          <w:color w:val="000000"/>
        </w:rPr>
      </w:pPr>
    </w:p>
    <w:p w14:paraId="272C0B90" w14:textId="61F599F4" w:rsidR="00ED2971" w:rsidRPr="001210F8" w:rsidRDefault="00DC12D0" w:rsidP="007A1D40">
      <w:pPr>
        <w:spacing w:line="480" w:lineRule="auto"/>
        <w:rPr>
          <w:i/>
          <w:iCs/>
        </w:rPr>
      </w:pPr>
      <w:r w:rsidRPr="001210F8">
        <w:rPr>
          <w:i/>
          <w:iCs/>
        </w:rPr>
        <w:t xml:space="preserve">Lifestyle </w:t>
      </w:r>
      <w:r w:rsidR="00694526">
        <w:rPr>
          <w:i/>
          <w:iCs/>
        </w:rPr>
        <w:t>Factors and</w:t>
      </w:r>
      <w:r w:rsidR="00710763" w:rsidRPr="001210F8">
        <w:rPr>
          <w:i/>
          <w:iCs/>
        </w:rPr>
        <w:t xml:space="preserve"> </w:t>
      </w:r>
      <w:r w:rsidR="006340B7" w:rsidRPr="001210F8">
        <w:rPr>
          <w:i/>
          <w:iCs/>
        </w:rPr>
        <w:t>PTSD</w:t>
      </w:r>
    </w:p>
    <w:p w14:paraId="1966DB71" w14:textId="77777777" w:rsidR="001210F8" w:rsidRDefault="001210F8" w:rsidP="001210F8">
      <w:pPr>
        <w:spacing w:line="480" w:lineRule="auto"/>
      </w:pPr>
    </w:p>
    <w:p w14:paraId="02ACD992" w14:textId="542C4B53" w:rsidR="002B2465" w:rsidRDefault="00694526" w:rsidP="007A1D40">
      <w:pPr>
        <w:spacing w:line="480" w:lineRule="auto"/>
      </w:pPr>
      <w:r>
        <w:t>A s</w:t>
      </w:r>
      <w:r w:rsidR="001210F8">
        <w:t xml:space="preserve">edentary lifestyle </w:t>
      </w:r>
      <w:r w:rsidR="00816296">
        <w:t>(especially in combination with an overly energy-dense diet) may</w:t>
      </w:r>
      <w:r w:rsidR="001210F8">
        <w:t xml:space="preserve"> contribute to </w:t>
      </w:r>
      <w:r w:rsidR="00E659A5">
        <w:t xml:space="preserve">both </w:t>
      </w:r>
      <w:r w:rsidR="001210F8">
        <w:t xml:space="preserve">PTSD </w:t>
      </w:r>
      <w:r w:rsidR="00E659A5">
        <w:t xml:space="preserve">and its </w:t>
      </w:r>
      <w:r w:rsidR="001210F8">
        <w:t>comorbidit</w:t>
      </w:r>
      <w:r w:rsidR="00816296">
        <w:t>ies, such as</w:t>
      </w:r>
      <w:r w:rsidR="007E0CDB">
        <w:t>,</w:t>
      </w:r>
      <w:r w:rsidR="001210F8">
        <w:t xml:space="preserve"> </w:t>
      </w:r>
      <w:r w:rsidR="007E0CDB">
        <w:t>o</w:t>
      </w:r>
      <w:r w:rsidR="001210F8">
        <w:t xml:space="preserve">besity, </w:t>
      </w:r>
      <w:r w:rsidR="007E0CDB">
        <w:t>elevated</w:t>
      </w:r>
      <w:r w:rsidR="001210F8">
        <w:t xml:space="preserve"> levels of LDL cholesterol</w:t>
      </w:r>
      <w:r w:rsidR="007D51C5">
        <w:t xml:space="preserve"> from insufficient exercise</w:t>
      </w:r>
      <w:r w:rsidR="001210F8">
        <w:t>, and less efficient elimination of reactive oxygen species (</w:t>
      </w:r>
      <w:r w:rsidR="0005406D">
        <w:t xml:space="preserve">ROS, including free radicals), which </w:t>
      </w:r>
      <w:r w:rsidR="001210F8">
        <w:t>exacerbate</w:t>
      </w:r>
      <w:r w:rsidR="0005406D">
        <w:t>s</w:t>
      </w:r>
      <w:r w:rsidR="001210F8">
        <w:t xml:space="preserve"> anxiety and depressive disorders associated with PTSD </w:t>
      </w:r>
      <w:r w:rsidR="001210F8">
        <w:fldChar w:fldCharType="begin"/>
      </w:r>
      <w:r w:rsidR="001210F8">
        <w:instrText xml:space="preserve"> ADDIN ZOTERO_ITEM CSL_CITATION {"citationID":"Hp1DDIME","properties":{"formattedCitation":"(Wilkins et al.)","plainCitation":"(Wilkins et al.)","noteIndex":0},"citationItems":[{"id":702,"uris":["http://zotero.org/users/local/wdQKiz3s/items/MHJVMTWH"],"uri":["http://zotero.org/users/local/wdQKiz3s/items/MHJVMTWH"],"itemData":{"id":702,"type":"article-journal","abstract":"Objective Post-traumatic stress disorder (PTSD) is common in Veterans. Symptoms can perpetuate into late life, negatively impacting physical and mental health. Exercise and social support are beneficial in treating anxiety disorders such as PTSD in the general population, although less is known about the impact on Veterans who have lived with PTSD for decades. This study assessed associations between social connectedness, physical function and self-reported change in PTSD symptoms among older Veterans specifically participating in Gerofit. Design Prospective clinical intervention. Setting Twelve sites of Veterans Affairs (VA) Gerofit exercise program across the United States. Participants Three hundred and twenty one older Veteran Gerofit participants (mean age = 74) completed physical assessments and questionnaires regarding physical and emotional symptoms and their experience. Measurements Measures of physical function, including 30-second chair stands, 10-m and 6-min walk were assessed at baseline and 3 months; change in PTSD symptoms based on the Diagnostic Statistical Manual—5 (DSM-5) assessed by a self-report questionnaire; and social connection measured by the Relatedness Subscale of the Psychological Need Satisfaction in Exercise scale (PNSE) were evaluated after 3 months of participation in Gerofit. Results Ninety five (29.6%) Veterans reported PTSD. Significant improvement was noted in self-rated PTSD symptoms at 3 months (P &lt; .05). Moderate correlation (r = .44) was found between social connectedness with other participants in Gerofit and PTSD symptom improvement for those Veterans who endorsed improvement (n = 59). All participants improved on measures of physical function. In Veterans who endorsed PTSD there were no significant associations between physical function improvement and PTSD symptoms. Conclusion Veterans with PTSD that participated in Gerofit group exercise reported symptom improvement, and social connectedness was significantly associated with this improvement. In addition to physical health benefits, the social context of Gerofit may offer a potential resource for improving PTSD symptoms in older Veterans that warrants further study.","container-title":"Journal of the American Geriatrics Society","DOI":"https://doi.org/10.1111/jgs.16973","ISSN":"1532-5415","issue":"n/a","language":"en","note":"_eprint: https://onlinelibrary.wiley.com/doi/pdf/10.1111/jgs.16973","source":"Wiley Online Library","title":"PTSD Improvement Associated with Social Connectedness in Gerofit Veterans Exercise Program","URL":"http://agsjournals.onlinelibrary.wiley.com/doi/abs/10.1111/jgs.16973","volume":"n/a","author":[{"family":"Wilkins","given":"Stacy Schantz"},{"family":"Melrose","given":"Rebecca J."},{"family":"Hall","given":"Katherine S."},{"family":"Blanchard","given":"Erin"},{"family":"Castle","given":"Steven C."},{"family":"Kopp","given":"Teresa"},{"family":"Katzel","given":"Leslie I."},{"family":"Holder","given":"Alice"},{"family":"Alexander","given":"Neil"},{"family":"McDonald","given":"Michelle K. S."},{"family":"Tayade","given":"Arti"},{"family":"Forman","given":"Daniel E."},{"family":"Abbate","given":"Lauren M."},{"family":"Harris","given":"Rebekah"},{"family":"Valencia","given":"Willy M."},{"family":"Morey","given":"Miriam C."},{"family":"Lee","given":"Cathy C."}],"accessed":{"date-parts":[["2021",1,13]]}}}],"schema":"https://github.com/citation-style-language/schema/raw/master/csl-citation.json"} </w:instrText>
      </w:r>
      <w:r w:rsidR="001210F8">
        <w:fldChar w:fldCharType="separate"/>
      </w:r>
      <w:r w:rsidR="001210F8">
        <w:rPr>
          <w:noProof/>
        </w:rPr>
        <w:t>(Wilkins et al. 2020)</w:t>
      </w:r>
      <w:r w:rsidR="001210F8">
        <w:fldChar w:fldCharType="end"/>
      </w:r>
      <w:r w:rsidR="001210F8">
        <w:t>. A controlled</w:t>
      </w:r>
      <w:r w:rsidR="00E659A5">
        <w:t xml:space="preserve">, </w:t>
      </w:r>
      <w:r w:rsidR="001210F8">
        <w:t xml:space="preserve">randomized pilot study conducted through the Warrior Wellness program in the VA hospital measured the physical outcomes (strength, mobility, balance), cardiovascular health, and health-related lifestyle factors (waist circumference, sense of belonging) of </w:t>
      </w:r>
      <w:r w:rsidR="00E5336D">
        <w:t xml:space="preserve">54 </w:t>
      </w:r>
      <w:r w:rsidR="001210F8">
        <w:t xml:space="preserve">veterans suffering from PTSD and found that aerobic </w:t>
      </w:r>
      <w:r w:rsidR="001210F8">
        <w:lastRenderedPageBreak/>
        <w:t xml:space="preserve">endurance exercise intervention significantly improved all </w:t>
      </w:r>
      <w:r w:rsidR="00E5336D">
        <w:t>c</w:t>
      </w:r>
      <w:r w:rsidR="001210F8">
        <w:t xml:space="preserve">riteria for a majority of the patients </w:t>
      </w:r>
      <w:r w:rsidR="001210F8">
        <w:fldChar w:fldCharType="begin"/>
      </w:r>
      <w:r w:rsidR="001210F8">
        <w:instrText xml:space="preserve"> ADDIN ZOTERO_ITEM CSL_CITATION {"citationID":"aZR8Gy4L","properties":{"formattedCitation":"(Hall et al. 2020)","plainCitation":"(Hall et al. 2020)","noteIndex":0},"citationItems":[{"id":447,"uris":["http://zotero.org/users/local/wdQKiz3s/items/BG8IA4Z4"],"uri":["http://zotero.org/users/local/wdQKiz3s/items/BG8IA4Z4"],"itemData":{"id":447,"type":"article-journal","abstract":"Background:  Military veterans living with post-traumatic stress disorder (PTSD) face significant physical and functional health disparities, which are often aggravated over time and in the context aging. Evidence has shown that physical activity can positively impact age-related health conditions, yet exercise trials in older adults with mental disorders are rare. Our study was a tailored and targeted pilot exercise intervention for older veterans with PTSD.\nMethods:  Fifty-four older veterans with PTSD (mean age = 67.4 years, 90.7% male, 85.2% non-white) were randomized to supervised exercise (n = 38) or wait-list usual care (n = 18) for 12 weeks. Physical activity (MET-min/wk) and aerobic endurance (assessed with the 6-minute walk test) were primary outcomes. Secondary outcomes were physical performance (strength, mobility, balance), cardiometabolic risk factors (eg, waist circumference), and health-related quality of life.\nResults:  At 12 weeks, a large effect of the intervention on physical activity levels (Cohen’s d = 1.37) was observed compared to wait-list usual care. Aerobic endurance improved by 69 m in the exercise group compared to 10 m in wait-list group, reflecting a moderate between-group effect (Cohen’s d = 0.50). Between-group differences on 12-week changes in physical performance, cardiometabolic risk factors, and healthrelated quality of life ranged from small to large effects (Cohen’s d = 0.28–1.48), favoring the exercise arm.\nConclusion:  Participation in supervised exercise improved aerobic endurance, physical performance, and health-related clinical factors in older veterans with PTSD; a medically complex population with multiple morbidity. Group exercise is a low-cost, low-stigma intervention, and implementation efforts among older veterans with PTSD warrants further consideration.","container-title":"The Journals of Gerontology: Series A","DOI":"10.1093/gerona/glz255","ISSN":"1079-5006, 1758-535X","issue":"11","language":"en","page":"2130-2138","source":"DOI.org (Crossref)","title":"Warrior Wellness: A Randomized Controlled Pilot Trial of the Effects of Exercise on Physical Function and Clinical Health Risk Factors in Older Military Veterans With PTSD","title-short":"Warrior Wellness","volume":"75","author":[{"family":"Hall","given":"Katherine S"},{"family":"Morey","given":"Miriam C"},{"family":"Beckham","given":"Jean C"},{"family":"Bosworth","given":"Hayden B"},{"family":"Sloane","given":"Richard"},{"family":"Pieper","given":"Carl F"},{"family":"Pebole","given":"Michelle M"}],"editor":[{"family":"Newman","given":"Anne"}],"issued":{"date-parts":[["2020",10,15]]}}}],"schema":"https://github.com/citation-style-language/schema/raw/master/csl-citation.json"} </w:instrText>
      </w:r>
      <w:r w:rsidR="001210F8">
        <w:fldChar w:fldCharType="separate"/>
      </w:r>
      <w:r w:rsidR="001210F8">
        <w:rPr>
          <w:noProof/>
        </w:rPr>
        <w:t>(Hall et al. 2020)</w:t>
      </w:r>
      <w:r w:rsidR="001210F8">
        <w:fldChar w:fldCharType="end"/>
      </w:r>
      <w:r w:rsidR="001210F8">
        <w:t>. This pilot study demonstrate</w:t>
      </w:r>
      <w:r w:rsidR="00D17FAB">
        <w:t>d</w:t>
      </w:r>
      <w:r w:rsidR="001210F8">
        <w:t xml:space="preserve"> the efficacy of exercise intervention to prevent PTSD comorbidities like obesity and cardiovascular disease. Furthermore, many PTSD patients described in the pilot study benefited from the social aspect of working out with other patients towards a common goal, giving them a sense of belonging. </w:t>
      </w:r>
    </w:p>
    <w:p w14:paraId="76643F08" w14:textId="77777777" w:rsidR="00A95BD3" w:rsidRPr="002725ED" w:rsidRDefault="00A95BD3" w:rsidP="00A95BD3">
      <w:pPr>
        <w:spacing w:line="480" w:lineRule="auto"/>
        <w:rPr>
          <w:i/>
          <w:iCs/>
        </w:rPr>
      </w:pPr>
    </w:p>
    <w:p w14:paraId="7ED31D86" w14:textId="6AA271F5" w:rsidR="00A95BD3" w:rsidRDefault="00A95BD3" w:rsidP="00A95BD3">
      <w:pPr>
        <w:spacing w:line="480" w:lineRule="auto"/>
        <w:rPr>
          <w:color w:val="000000"/>
          <w:shd w:val="clear" w:color="auto" w:fill="FFFFFF"/>
        </w:rPr>
      </w:pPr>
      <w:r>
        <w:t xml:space="preserve">As stated above, diet is also relevant for PTSD. Antioxidant deficiency is linked to increased concentrations of ROS that stimulate the immune system and can, when unchecked, trigger chronic inflammation </w:t>
      </w:r>
      <w:r>
        <w:fldChar w:fldCharType="begin"/>
      </w:r>
      <w:r>
        <w:instrText xml:space="preserve"> ADDIN ZOTERO_ITEM CSL_CITATION {"citationID":"u2YjN6u1","properties":{"formattedCitation":"(Fubini and Hubbard 2003)","plainCitation":"(Fubini and Hubbard 2003)","noteIndex":0},"citationItems":[{"id":718,"uris":["http://zotero.org/users/local/wdQKiz3s/items/GYFL8TJV"],"uri":["http://zotero.org/users/local/wdQKiz3s/items/GYFL8TJV"],"itemData":{"id":718,"type":"article-journal","abstract":"Exposure to particulate silica (most crystalline polymorphs) causes a persistent inflammation sustained by the release of oxidants in the alveolar space. Reactive oxygen species (ROS), which include hydroxyl radical, superoxide anion, hydrogen peroxide, and singlet oxygen, are generated not only at the particle surface, but also by phagocytic cells attempting to digest the silica particle. Two distinct kinds of surface centers-silica-based surface radicals and poorly coordinated iron ions-generate O(2)(*)(-) and HO(*) in aqueous solution via different mechanisms. Crystalline silica is also a potent stimulant of the respiratory burst in phagocytic cells with increased oxygen consumption and production of O(*)(-), H(2)O(2), and NO leading to acute inflammation and HO(*) generation in the lung. Oxidative stress elicited by crystalline silica is also evidenced by increased expression of antioxidant enzymes such as manganese superoxide dismutase (Mn-SOD) and glutathione peroxidase, and the enzyme inducible nitric oxide synthase (iNOS). Generation of oxidants by crystalline silica particles and by silica-activated cells results in cell and lung injury, activation of cell signaling pathways to include MAPK/ERK kinase (MEK), and extracellular signal-regulated kinase (ERK) phosphorylation, increased expression of inflammatory cytokines (e.g., tumor necrosis factoralpha [TNFalpha], interleukin-1 [IL-1]), and activation of specific transcription factors (e.g., NFkappaB, AP-1). Silica can also initiate apoptosis in response to oxygen- and nitrogen-based free radicals, leading to mitochondrial dysfunction, increased gene expression of death receptors, and/or their ligands (TNFalpha, Fas ligand [FasL]).","container-title":"Free Radical Biology &amp; Medicine","DOI":"10.1016/s0891-5849(03)00149-7","ISSN":"0891-5849","issue":"12","journalAbbreviation":"Free Radic Biol Med","language":"eng","note":"PMID: 12788471","page":"1507-1516","source":"PubMed","title":"Reactive oxygen species (ROS) and reactive nitrogen species (RNS) generation by silica in inflammation and fibrosis","volume":"34","author":[{"family":"Fubini","given":"Bice"},{"family":"Hubbard","given":"Andrea"}],"issued":{"date-parts":[["2003",6,15]]}}}],"schema":"https://github.com/citation-style-language/schema/raw/master/csl-citation.json"} </w:instrText>
      </w:r>
      <w:r>
        <w:fldChar w:fldCharType="separate"/>
      </w:r>
      <w:r>
        <w:rPr>
          <w:noProof/>
        </w:rPr>
        <w:t>(Fubini and Hubbard 2003)</w:t>
      </w:r>
      <w:r>
        <w:fldChar w:fldCharType="end"/>
      </w:r>
      <w:r>
        <w:t xml:space="preserve"> and promote neurodegenerative disease in PTSD patients </w:t>
      </w:r>
      <w:r>
        <w:fldChar w:fldCharType="begin"/>
      </w:r>
      <w:r>
        <w:instrText xml:space="preserve"> ADDIN ZOTERO_ITEM CSL_CITATION {"citationID":"Lau25lHh","properties":{"formattedCitation":"(Miller et al. 2017 Oct; de Souza et al. 2019)","plainCitation":"(Miller et al. 2017 Oct; de Souza et al. 2019)","noteIndex":0},"citationItems":[{"id":685,"uris":["http://zotero.org/users/local/wdQKiz3s/items/QDXY432D"],"uri":["http://zotero.org/users/local/wdQKiz3s/items/QDXY432D"],"itemData":{"id":685,"type":"article-journal","abstract":"Posttraumatic stress disorder is a serious and often disabling syndrome that develops in response to a traumatic event. Many individuals who initially develop the disorder go on to experience a chronic form of the condition that in some cases can last for many years. Among these patients, psychiatric and medical comorbidities are common including early onset of age-related conditions such as chronic pain, cardiometabolic disease, neurocognitive disorders, and dementia. The hallmark symptoms of posttraumatic stress—recurrent sensory-memory reexperiencing of the trauma(s)—are associated with concomitant activations of threat- and stress-related neurobiological pathways that occur against a tonic backdrop of sleep disturbance and heightened physiological arousal. Emerging evidence suggests that the molecular consequences of this stressperpetuating syndrome include elevated systemic levels of oxidative stress and inflammation. In this paper, we review evidence for the involvement of oxidative stress and inflammation in chronic PTSD and the neurobiological consequences of these processes including accelerated cellular aging and neuroprogression. Our aim was to update and expand upon previous reviews of this rapidly-developing literature and discuss magnetic resonance spectroscopy as an imaging technology uniquely-suited to measuring oxidative stress and inflammatory markers in vivo. Finally, we highlight future directions for research and avenues for the development of novel therapeutics targeting OXS and inflammation in patients with PTSD.","container-title":"Harvard Review of Psychiatry","DOI":"10.1097/HRP.0000000000000167","ISSN":"1067-3229","journalAbbreviation":"Harvard Review of Psychiatry","language":"en","page":"1","source":"DOI.org (Crossref)","title":"Oxidative Stress, Inflammation, and Neuroprogression in Chronic PTSD:","title-short":"Oxidative Stress, Inflammation, and Neuroprogression in Chronic PTSD","author":[{"family":"Miller","given":"Mark W."},{"family":"Lin","given":"Alex P."},{"family":"Wolf","given":"Erika J."},{"family":"Miller","given":"Danielle R."}],"issued":{"date-parts":[["2017",10]]}}},{"id":678,"uris":["http://zotero.org/users/local/wdQKiz3s/items/XENHLZZC"],"uri":["http://zotero.org/users/local/wdQKiz3s/items/XENHLZZC"],"itemData":{"id":678,"type":"article-journal","abstract":"Anxiety and stress disorders, such as posttraumatic stress disorder (PTSD) have been described as debilitating comorbidities of diabetes. In the present study, we aimed to investigate anxiety-like behavior and the extinction and generalization of aversive memories in fear conditioning using a streptozotocin-induced model of diabetes (DBT). Moreover, considering that DBT animals present increased oxidative stress in brain areas related to anxiety and memory, we aimed to evaluate the effect of prolonged treatment with antioxidant vitamin E on behavioral parameters of anxiety and fear memory and on the diabetic condition. It was observed that DBT animals showed a deficiency in extinguishing the aversive memory in a fear conditioning test, along with a generalization of the fear memory. They also present a more pronounced anxiety-like behavior in the elevated plus maze test. VIT E treatment (300 mg/kg, p.o.) was not able to reduce hyperglycemia; however, it was able to block the anxiogenic-like behavior, also improving the deficit in the extinction of the aversive memory as well as blocking the generalization of such memory in a different context. Taken together, our data suggest that DBT animals are prone to extinction deficits and generalization of fear memories, behaviors which are observed in models of PTSD. Lastly, prolonged VIT E supplementation may be effective in the treatment of anxiety, extinction deficit and generalization of fear memories induced by the diabetic condition.","container-title":"Behavioural Brain Research","DOI":"10.1016/j.bbr.2018.09.008","ISSN":"0166-4328","journalAbbreviation":"Behavioural Brain Research","language":"en","page":"749-754","source":"ScienceDirect","title":"Posttraumatic stress disorder-type behaviors in streptozotocin-induced diabetic rats can be prevented by prolonged treatment with vitamin E","volume":"359","author":[{"family":"Souza","given":"Camila Pasquini","non-dropping-particle":"de"},{"family":"Gambeta","given":"Eder"},{"family":"Stern","given":"Cristina Aparecida Jark"},{"family":"Zanoveli","given":"Janaína Menezes"}],"issued":{"date-parts":[["2019",2,1]]}}}],"schema":"https://github.com/citation-style-language/schema/raw/master/csl-citation.json"} </w:instrText>
      </w:r>
      <w:r>
        <w:fldChar w:fldCharType="separate"/>
      </w:r>
      <w:r>
        <w:rPr>
          <w:noProof/>
        </w:rPr>
        <w:t>(Miller et al. 2017 Oct; de Souza et al. 2019)</w:t>
      </w:r>
      <w:r>
        <w:fldChar w:fldCharType="end"/>
      </w:r>
      <w:r>
        <w:t xml:space="preserve">. In higher concentrations, ROS damage cell structures </w:t>
      </w:r>
      <w:r>
        <w:fldChar w:fldCharType="begin"/>
      </w:r>
      <w:r>
        <w:instrText xml:space="preserve"> ADDIN ZOTERO_ITEM CSL_CITATION {"citationID":"BicLha1m","properties":{"formattedCitation":"(Pham-Huy et al. 2008)","plainCitation":"(Pham-Huy et al. 2008)","noteIndex":0},"citationItems":[{"id":681,"uris":["http://zotero.org/users/local/wdQKiz3s/items/HN8LWRGI"],"uri":["http://zotero.org/users/local/wdQKiz3s/items/HN8LWRGI"],"itemData":{"id":681,"type":"article-journal","abstract":"Free radicals and oxidants play a dual role as both toxic and beneficial compounds, since they can be either harmful or helpful to the body. They are produced either from normal cell metabolisms in situ or from external sources (pollution, cigarette smoke, radiation, medication). When an overload of free radicals cannot gradually be destroyed, their accumulation in the body generates a phenomenon called oxidative stress. This process plays a major part in the development of chronic and degenerative illness such as cancer, autoimmune disorders, aging, cataract, rheumatoid arthritis, cardiovascular and neurodegenerative diseases. The human body has several mechanisms to counteract oxidative stress by producing antioxidants, which are either naturally produced in situ, or externally supplied through foods and/or supplements. This mini-review deals with the taxonomy, the mechanisms of formation and catabolism of the free radicals, it examines their beneficial and deleterious effects on cellular activities, it highlights the potential role of the antioxidants in preventing and repairing damages caused by oxidative stress, and it discusses the antioxidant supplementation in health maintenance.","container-title":"International Journal of Biomedical Science : IJBS","ISSN":"1550-9702","issue":"2","journalAbbreviation":"Int J Biomed Sci","note":"PMID: 23675073\nPMCID: PMC3614697","page":"89-96","source":"PubMed Central","title":"Free Radicals, Antioxidants in Disease and Health","volume":"4","author":[{"family":"Pham-Huy","given":"Lien Ai"},{"family":"He","given":"Hua"},{"family":"Pham-Huy","given":"Chuong"}],"issued":{"date-parts":[["2008",6]]}}}],"schema":"https://github.com/citation-style-language/schema/raw/master/csl-citation.json"} </w:instrText>
      </w:r>
      <w:r>
        <w:fldChar w:fldCharType="separate"/>
      </w:r>
      <w:r>
        <w:rPr>
          <w:noProof/>
        </w:rPr>
        <w:t>(Pham-Huy et al. 2008)</w:t>
      </w:r>
      <w:r>
        <w:fldChar w:fldCharType="end"/>
      </w:r>
      <w:r>
        <w:t xml:space="preserve"> and </w:t>
      </w:r>
      <w:r w:rsidR="00DA4B73">
        <w:t xml:space="preserve">promote </w:t>
      </w:r>
      <w:r>
        <w:t xml:space="preserve">neurodegenerative disease linked to PTSD </w:t>
      </w:r>
      <w:r>
        <w:fldChar w:fldCharType="begin"/>
      </w:r>
      <w:r>
        <w:instrText xml:space="preserve"> ADDIN ZOTERO_ITEM CSL_CITATION {"citationID":"rPyyx3De","properties":{"formattedCitation":"(Miller et al. 2017 Oct; de Souza et al. 2019)","plainCitation":"(Miller et al. 2017 Oct; de Souza et al. 2019)","noteIndex":0},"citationItems":[{"id":685,"uris":["http://zotero.org/users/local/wdQKiz3s/items/QDXY432D"],"uri":["http://zotero.org/users/local/wdQKiz3s/items/QDXY432D"],"itemData":{"id":685,"type":"article-journal","abstract":"Posttraumatic stress disorder is a serious and often disabling syndrome that develops in response to a traumatic event. Many individuals who initially develop the disorder go on to experience a chronic form of the condition that in some cases can last for many years. Among these patients, psychiatric and medical comorbidities are common including early onset of age-related conditions such as chronic pain, cardiometabolic disease, neurocognitive disorders, and dementia. The hallmark symptoms of posttraumatic stress—recurrent sensory-memory reexperiencing of the trauma(s)—are associated with concomitant activations of threat- and stress-related neurobiological pathways that occur against a tonic backdrop of sleep disturbance and heightened physiological arousal. Emerging evidence suggests that the molecular consequences of this stressperpetuating syndrome include elevated systemic levels of oxidative stress and inflammation. In this paper, we review evidence for the involvement of oxidative stress and inflammation in chronic PTSD and the neurobiological consequences of these processes including accelerated cellular aging and neuroprogression. Our aim was to update and expand upon previous reviews of this rapidly-developing literature and discuss magnetic resonance spectroscopy as an imaging technology uniquely-suited to measuring oxidative stress and inflammatory markers in vivo. Finally, we highlight future directions for research and avenues for the development of novel therapeutics targeting OXS and inflammation in patients with PTSD.","container-title":"Harvard Review of Psychiatry","DOI":"10.1097/HRP.0000000000000167","ISSN":"1067-3229","journalAbbreviation":"Harvard Review of Psychiatry","language":"en","page":"1","source":"DOI.org (Crossref)","title":"Oxidative Stress, Inflammation, and Neuroprogression in Chronic PTSD:","title-short":"Oxidative Stress, Inflammation, and Neuroprogression in Chronic PTSD","author":[{"family":"Miller","given":"Mark W."},{"family":"Lin","given":"Alex P."},{"family":"Wolf","given":"Erika J."},{"family":"Miller","given":"Danielle R."}],"issued":{"date-parts":[["2017",10]]}}},{"id":678,"uris":["http://zotero.org/users/local/wdQKiz3s/items/XENHLZZC"],"uri":["http://zotero.org/users/local/wdQKiz3s/items/XENHLZZC"],"itemData":{"id":678,"type":"article-journal","abstract":"Anxiety and stress disorders, such as posttraumatic stress disorder (PTSD) have been described as debilitating comorbidities of diabetes. In the present study, we aimed to investigate anxiety-like behavior and the extinction and generalization of aversive memories in fear conditioning using a streptozotocin-induced model of diabetes (DBT). Moreover, considering that DBT animals present increased oxidative stress in brain areas related to anxiety and memory, we aimed to evaluate the effect of prolonged treatment with antioxidant vitamin E on behavioral parameters of anxiety and fear memory and on the diabetic condition. It was observed that DBT animals showed a deficiency in extinguishing the aversive memory in a fear conditioning test, along with a generalization of the fear memory. They also present a more pronounced anxiety-like behavior in the elevated plus maze test. VIT E treatment (300 mg/kg, p.o.) was not able to reduce hyperglycemia; however, it was able to block the anxiogenic-like behavior, also improving the deficit in the extinction of the aversive memory as well as blocking the generalization of such memory in a different context. Taken together, our data suggest that DBT animals are prone to extinction deficits and generalization of fear memories, behaviors which are observed in models of PTSD. Lastly, prolonged VIT E supplementation may be effective in the treatment of anxiety, extinction deficit and generalization of fear memories induced by the diabetic condition.","container-title":"Behavioural Brain Research","DOI":"10.1016/j.bbr.2018.09.008","ISSN":"0166-4328","journalAbbreviation":"Behavioural Brain Research","language":"en","page":"749-754","source":"ScienceDirect","title":"Posttraumatic stress disorder-type behaviors in streptozotocin-induced diabetic rats can be prevented by prolonged treatment with vitamin E","volume":"359","author":[{"family":"Souza","given":"Camila Pasquini","non-dropping-particle":"de"},{"family":"Gambeta","given":"Eder"},{"family":"Stern","given":"Cristina Aparecida Jark"},{"family":"Zanoveli","given":"Janaína Menezes"}],"issued":{"date-parts":[["2019",2,1]]}}}],"schema":"https://github.com/citation-style-language/schema/raw/master/csl-citation.json"} </w:instrText>
      </w:r>
      <w:r>
        <w:fldChar w:fldCharType="separate"/>
      </w:r>
      <w:r>
        <w:rPr>
          <w:noProof/>
        </w:rPr>
        <w:t>(Miller et al. 2017 Oct; de Souza et al. 2019)</w:t>
      </w:r>
      <w:r>
        <w:fldChar w:fldCharType="end"/>
      </w:r>
      <w:r>
        <w:t>. Antioxidant vitamins include Vitamin E. Many patients with PTSD have a constant hyper-aroused mental state associated with elevated ROS levels, which are presumably exacerbated by dietary deficiencies of antioxidants, such as vitamin E</w:t>
      </w:r>
      <w:r w:rsidR="00D17FAB">
        <w:t>, and trigger</w:t>
      </w:r>
      <w:r>
        <w:t xml:space="preserve"> neurological disease development </w:t>
      </w:r>
      <w:r>
        <w:fldChar w:fldCharType="begin"/>
      </w:r>
      <w:r>
        <w:instrText xml:space="preserve"> ADDIN ZOTERO_ITEM CSL_CITATION {"citationID":"ZId5Amf6","properties":{"formattedCitation":"(de Souza et al. 2019)","plainCitation":"(de Souza et al. 2019)","noteIndex":0},"citationItems":[{"id":678,"uris":["http://zotero.org/users/local/wdQKiz3s/items/XENHLZZC"],"uri":["http://zotero.org/users/local/wdQKiz3s/items/XENHLZZC"],"itemData":{"id":678,"type":"article-journal","abstract":"Anxiety and stress disorders, such as posttraumatic stress disorder (PTSD) have been described as debilitating comorbidities of diabetes. In the present study, we aimed to investigate anxiety-like behavior and the extinction and generalization of aversive memories in fear conditioning using a streptozotocin-induced model of diabetes (DBT). Moreover, considering that DBT animals present increased oxidative stress in brain areas related to anxiety and memory, we aimed to evaluate the effect of prolonged treatment with antioxidant vitamin E on behavioral parameters of anxiety and fear memory and on the diabetic condition. It was observed that DBT animals showed a deficiency in extinguishing the aversive memory in a fear conditioning test, along with a generalization of the fear memory. They also present a more pronounced anxiety-like behavior in the elevated plus maze test. VIT E treatment (300 mg/kg, p.o.) was not able to reduce hyperglycemia; however, it was able to block the anxiogenic-like behavior, also improving the deficit in the extinction of the aversive memory as well as blocking the generalization of such memory in a different context. Taken together, our data suggest that DBT animals are prone to extinction deficits and generalization of fear memories, behaviors which are observed in models of PTSD. Lastly, prolonged VIT E supplementation may be effective in the treatment of anxiety, extinction deficit and generalization of fear memories induced by the diabetic condition.","container-title":"Behavioural Brain Research","DOI":"10.1016/j.bbr.2018.09.008","ISSN":"0166-4328","journalAbbreviation":"Behavioural Brain Research","language":"en","page":"749-754","source":"ScienceDirect","title":"Posttraumatic stress disorder-type behaviors in streptozotocin-induced diabetic rats can be prevented by prolonged treatment with vitamin E","volume":"359","author":[{"family":"Souza","given":"Camila Pasquini","non-dropping-particle":"de"},{"family":"Gambeta","given":"Eder"},{"family":"Stern","given":"Cristina Aparecida Jark"},{"family":"Zanoveli","given":"Janaína Menezes"}],"issued":{"date-parts":[["2019",2,1]]}}}],"schema":"https://github.com/citation-style-language/schema/raw/master/csl-citation.json"} </w:instrText>
      </w:r>
      <w:r>
        <w:fldChar w:fldCharType="separate"/>
      </w:r>
      <w:r>
        <w:rPr>
          <w:noProof/>
        </w:rPr>
        <w:t>(de Souza et al. 2019)</w:t>
      </w:r>
      <w:r>
        <w:fldChar w:fldCharType="end"/>
      </w:r>
      <w:r>
        <w:t xml:space="preserve">. Vitamin E and omega-3 supplementation has shown efficacy in reducing chronic inflammation and ameliorating neurodegenerative diseases associated with PTSD </w:t>
      </w:r>
      <w:r>
        <w:fldChar w:fldCharType="begin"/>
      </w:r>
      <w:r>
        <w:instrText xml:space="preserve"> ADDIN ZOTERO_ITEM CSL_CITATION {"citationID":"lyvLu14u","properties":{"formattedCitation":"(Alquraan et al. 2019)","plainCitation":"(Alquraan et al. 2019)","noteIndex":0},"citationItems":[{"id":465,"uris":["http://zotero.org/users/local/wdQKiz3s/items/RQTDADQR"],"uri":["http://zotero.org/users/local/wdQKiz3s/items/RQTDADQR"],"itemData":{"id":465,"type":"article-journal","abstract":"Post-traumatic stress disorder (PTSD) is a psychiatric disorder that can happen after exposure to a traumatic event. Post-traumatic stress disorder is common among mental health disorders that include mood and anxiety disorders. Omega-3 fatty acids (OMGs) are essential for the maintenance of brain function and prevention of cognition dysfunctions. However, the possible effect of OMG on memory impairment induced by PTSD has not been studied. In here, such an effect was explored using a rat model of PTSD. The PTSD-like behavior was induced in animals using a single-prolonged stress (SPS) rat model of PTSD (2 h restraint, 20 min forced swimming, 15 min rest, 1&amp;ndash;2 min diethyl ether exposure). The OMG was administered orally at a dose of 100 mg omega-3 polyunsaturated fatty acid (PUFA)/100 g body weight/day. Spatial learning and memory were assessed using the radial arm water maze (RAWM) method. Changes in oxidative stress biomarkers, thiobarbituric acid reactive substances (TBARS), and brain derived neuroptrophic factor (BDNF) in the hippocampus following treatments were measured. The results revealed that SPS impaired both short- and long-term memory (p &amp;lt; 0.05). Use of OMG prevented memory impairment induced by SPS. Furthermore, OMG normalized SPS induced changes in the hippocampus that reduced glutathione (GSH), oxidized glutathione (GSSG), GSH/GSSG ratios, the activity of catalase, glutathione peroxidase (GPx), and TBARSs levels. In conclusion, the SPS model of PTSD-like behavior generated memory impairment, whereas OMG prevented this impairment, possibly through normalizing antioxidant mechanisms in the hippocampus.","container-title":"Biomolecules","DOI":"10.3390/biom9030100","issue":"3","language":"en","note":"number: 3\npublisher: Multidisciplinary Digital Publishing Institute","page":"100","source":"www.mdpi.com","title":"Omega-3 Fatty Acids Prevent Post-Traumatic Stress Disorder-Induced Memory Impairment","volume":"9","author":[{"family":"Alquraan","given":"Laiali"},{"family":"Alzoubi","given":"Karem H."},{"family":"Hammad","given":"Hana"},{"family":"Rababa’h","given":"Suzie Y."},{"family":"Mayyas","given":"Fadia"}],"issued":{"date-parts":[["2019",3]]}}}],"schema":"https://github.com/citation-style-language/schema/raw/master/csl-citation.json"} </w:instrText>
      </w:r>
      <w:r>
        <w:fldChar w:fldCharType="separate"/>
      </w:r>
      <w:r>
        <w:rPr>
          <w:noProof/>
        </w:rPr>
        <w:t>(Alquraan et al. 2019)</w:t>
      </w:r>
      <w:r>
        <w:fldChar w:fldCharType="end"/>
      </w:r>
      <w:r>
        <w:t xml:space="preserve">. A pilot study conducted with 26 Croatian </w:t>
      </w:r>
      <w:r w:rsidR="007E1F91">
        <w:t>h</w:t>
      </w:r>
      <w:r>
        <w:t xml:space="preserve">omeland war veterans showed that </w:t>
      </w:r>
      <w:r w:rsidRPr="00447517">
        <w:rPr>
          <w:color w:val="000000"/>
          <w:shd w:val="clear" w:color="auto" w:fill="FFFFFF"/>
        </w:rPr>
        <w:t>after 12 weeks of omega-3 supplementation with 600</w:t>
      </w:r>
      <w:r>
        <w:rPr>
          <w:color w:val="000000"/>
          <w:shd w:val="clear" w:color="auto" w:fill="FFFFFF"/>
        </w:rPr>
        <w:t xml:space="preserve"> </w:t>
      </w:r>
      <w:r w:rsidRPr="00447517">
        <w:rPr>
          <w:color w:val="000000"/>
          <w:shd w:val="clear" w:color="auto" w:fill="FFFFFF"/>
        </w:rPr>
        <w:t xml:space="preserve">mg tablets containing both EPA </w:t>
      </w:r>
      <w:r>
        <w:rPr>
          <w:color w:val="000000"/>
          <w:shd w:val="clear" w:color="auto" w:fill="FFFFFF"/>
        </w:rPr>
        <w:t xml:space="preserve">and </w:t>
      </w:r>
      <w:r w:rsidRPr="00447517">
        <w:rPr>
          <w:color w:val="000000"/>
          <w:shd w:val="clear" w:color="auto" w:fill="FFFFFF"/>
        </w:rPr>
        <w:t>DHA</w:t>
      </w:r>
      <w:r>
        <w:rPr>
          <w:color w:val="000000"/>
          <w:shd w:val="clear" w:color="auto" w:fill="FFFFFF"/>
        </w:rPr>
        <w:t>,</w:t>
      </w:r>
      <w:r w:rsidRPr="00447517">
        <w:rPr>
          <w:color w:val="000000"/>
          <w:shd w:val="clear" w:color="auto" w:fill="FFFFFF"/>
        </w:rPr>
        <w:t xml:space="preserve"> severity of PTSD symptoms significantly decreased by an average of 8 to 13% </w:t>
      </w:r>
      <w:r w:rsidRPr="00447517">
        <w:rPr>
          <w:color w:val="000000"/>
          <w:shd w:val="clear" w:color="auto" w:fill="FFFFFF"/>
        </w:rPr>
        <w:fldChar w:fldCharType="begin"/>
      </w:r>
      <w:r w:rsidRPr="00447517">
        <w:rPr>
          <w:color w:val="000000"/>
          <w:shd w:val="clear" w:color="auto" w:fill="FFFFFF"/>
        </w:rPr>
        <w:instrText xml:space="preserve"> ADDIN ZOTERO_ITEM CSL_CITATION {"citationID":"Wa93a5b8","properties":{"formattedCitation":"(Kalini\\uc0\\u263{} et al. 2016)","plainCitation":"(Kalinić et al. 2016)","noteIndex":0},"citationItems":[{"id":468,"uris":["http://zotero.org/users/local/wdQKiz3s/items/846KNJWU"],"uri":["http://zotero.org/users/local/wdQKiz3s/items/846KNJWU"],"itemData":{"id":468,"type":"article-journal","abstract":"IntroductionAssociation of pro-inflammatory cytokines with severity of various psychiatric disorders is shown. Evidence suggests omega-3 fatty acids reduce psychiatric symptoms due to anti-inflammatory properties.ObjectivesTo evaluate if serum levels of pro-inflammatory cytokines correlate with the intensity of PTSD symptoms, and the observed change in symptoms’ severity induced by omega-3 supplementation.MethodsWe included 26 Croatian Homeland war veterans (aged 39–60) with chronic PTSD and no major comorbidity, who were on stable therapeutic sertraline dose at least three months before recruitment. Levels of pro-inflammatory cytokines (TNF-α, IL-6, and IL-1β) were determined by the enzyme-linked immunosorbent assay method. Intensity of PTSD symptomatology was assessed by Clinician-Administered PTSD Scale (CAPS), Hamilton Anxiety Scale (HAM-A) and 17-item Hamilton Depression Scale (17-HAM-D). During 12 weeks, participants took omega-3 capsules (600 mg/day) while continuing sertraline therapy.ResultsMost participants presented with moderate PTSD evaluated by CAPS. At baseline, cytokine levels were not associated with the severity of PTSD symptoms, as measured by all three scales (P ≥ 0.209). After 12 weeks of omega-3 supplementation the severity of PTSD symptoms significantly decreased, on average by 8 to 13% on the psychometric scales per person (P &lt; 0.001 for all). However, no association was found between the change in cytokine levels and the change in scores, induced by omega-3, on the assessed scales (P ≥ 0.730).SummaryCytokine levels are not associated with PTSD severity or with improvement in PTSD symptomatology. At the same time, sertraline therapy supplemented with omega-3 seemed to reduce the severity of PTSD symptoms.Disclosure of interestThe authors have not supplied their declaration of competing interest.","container-title":"European Psychiatry","DOI":"10.1016/j.eurpsy.2016.01.519","ISSN":"0924-9338, 1778-3585","issue":"S1","language":"en","note":"publisher: Cambridge University Press","page":"S214-S214","source":"Cambridge University Press","title":"Association of pro-inflammatory cytokines with PTSd severity in patients treated with omega-3 supplementation – a pilot study","volume":"33","author":[{"family":"Kalinić","given":"D."},{"family":"Mimica","given":"N."},{"family":"Jeroncic","given":"A."},{"family":"Lalovac","given":"M."},{"family":"Delaš","given":"I."}],"issued":{"date-parts":[["2016",3]]}}}],"schema":"https://github.com/citation-style-language/schema/raw/master/csl-citation.json"} </w:instrText>
      </w:r>
      <w:r w:rsidRPr="00447517">
        <w:rPr>
          <w:color w:val="000000"/>
          <w:shd w:val="clear" w:color="auto" w:fill="FFFFFF"/>
        </w:rPr>
        <w:fldChar w:fldCharType="separate"/>
      </w:r>
      <w:r w:rsidRPr="009B22EF">
        <w:rPr>
          <w:color w:val="000000"/>
        </w:rPr>
        <w:t>(</w:t>
      </w:r>
      <w:proofErr w:type="spellStart"/>
      <w:r w:rsidRPr="009B22EF">
        <w:rPr>
          <w:color w:val="000000"/>
        </w:rPr>
        <w:t>Kalinić</w:t>
      </w:r>
      <w:proofErr w:type="spellEnd"/>
      <w:r w:rsidRPr="009B22EF">
        <w:rPr>
          <w:color w:val="000000"/>
        </w:rPr>
        <w:t xml:space="preserve"> et al. 2016)</w:t>
      </w:r>
      <w:r w:rsidRPr="00447517">
        <w:rPr>
          <w:color w:val="000000"/>
          <w:shd w:val="clear" w:color="auto" w:fill="FFFFFF"/>
        </w:rPr>
        <w:fldChar w:fldCharType="end"/>
      </w:r>
      <w:r w:rsidRPr="00447517">
        <w:rPr>
          <w:color w:val="000000"/>
          <w:shd w:val="clear" w:color="auto" w:fill="FFFFFF"/>
        </w:rPr>
        <w:t>.</w:t>
      </w:r>
      <w:r>
        <w:rPr>
          <w:color w:val="000000"/>
          <w:shd w:val="clear" w:color="auto" w:fill="FFFFFF"/>
        </w:rPr>
        <w:t xml:space="preserve"> </w:t>
      </w:r>
      <w:r w:rsidRPr="00447517">
        <w:rPr>
          <w:color w:val="000000"/>
          <w:shd w:val="clear" w:color="auto" w:fill="FFFFFF"/>
        </w:rPr>
        <w:t>Since this small study was not done with a double-blind design, future research must be conducted to further demonstrate efficacy.</w:t>
      </w:r>
      <w:r w:rsidR="00D51F8B">
        <w:rPr>
          <w:color w:val="000000"/>
          <w:shd w:val="clear" w:color="auto" w:fill="FFFFFF"/>
        </w:rPr>
        <w:t xml:space="preserve"> Future studies should also use combinations of omega-3 fatty acids and vitamin E</w:t>
      </w:r>
      <w:r w:rsidR="00095358">
        <w:rPr>
          <w:color w:val="000000"/>
          <w:shd w:val="clear" w:color="auto" w:fill="FFFFFF"/>
        </w:rPr>
        <w:t xml:space="preserve">. Omega-3 fatty acids, which are particularly prone to oxidation, presumably </w:t>
      </w:r>
      <w:r w:rsidR="00095358">
        <w:rPr>
          <w:color w:val="000000"/>
          <w:shd w:val="clear" w:color="auto" w:fill="FFFFFF"/>
        </w:rPr>
        <w:lastRenderedPageBreak/>
        <w:t>benefit particularly from protection by membrane-soluble antioxidants like vitamin E</w:t>
      </w:r>
      <w:r w:rsidR="00E81469">
        <w:rPr>
          <w:color w:val="000000"/>
          <w:shd w:val="clear" w:color="auto" w:fill="FFFFFF"/>
        </w:rPr>
        <w:t>.</w:t>
      </w:r>
      <w:r w:rsidRPr="00447517">
        <w:rPr>
          <w:color w:val="000000"/>
          <w:shd w:val="clear" w:color="auto" w:fill="FFFFFF"/>
        </w:rPr>
        <w:t xml:space="preserve"> In addition, high caloric intake</w:t>
      </w:r>
      <w:r w:rsidR="00E81469">
        <w:rPr>
          <w:color w:val="000000"/>
          <w:shd w:val="clear" w:color="auto" w:fill="FFFFFF"/>
        </w:rPr>
        <w:t>, which</w:t>
      </w:r>
      <w:r w:rsidRPr="00447517">
        <w:rPr>
          <w:color w:val="000000"/>
          <w:shd w:val="clear" w:color="auto" w:fill="FFFFFF"/>
        </w:rPr>
        <w:t xml:space="preserve"> is also prevalent in PTSD patients </w:t>
      </w:r>
      <w:r w:rsidRPr="00447517">
        <w:rPr>
          <w:color w:val="000000"/>
          <w:shd w:val="clear" w:color="auto" w:fill="FFFFFF"/>
        </w:rPr>
        <w:fldChar w:fldCharType="begin"/>
      </w:r>
      <w:r w:rsidRPr="00447517">
        <w:rPr>
          <w:color w:val="000000"/>
          <w:shd w:val="clear" w:color="auto" w:fill="FFFFFF"/>
        </w:rPr>
        <w:instrText xml:space="preserve"> ADDIN ZOTERO_ITEM CSL_CITATION {"citationID":"S1nAKpg9","properties":{"formattedCitation":"(Pietrzak et al. 2011)","plainCitation":"(Pietrzak et al. 2011)","noteIndex":0},"citationItems":[{"id":555,"uris":["http://zotero.org/users/local/wdQKiz3s/items/BC37RG8N"],"uri":["http://zotero.org/users/local/wdQKiz3s/items/BC37RG8N"],"itemData":{"id":555,"type":"article-journal","abstract":"The present study used data from the Wave 2 National Epidemiologic Survey on Alcohol and Related Conditions (n = 34,653) to examine lifetime Axis I psychiatric comorbidity of posttraumatic stress disorder (PTSD) in a nationally representative sample of U.S. adults. Lifetime prevalences ± standard errors of PTSD and partial PTSD were 6.4% ± 0.18 and 6.6% ± 0.18, respectively. Rates of PTSD and partial PTSD were higher among women (8.6% ± 0.26 and 8.6% ± 0.26) than men (4.1% ± 0.19 and 4.5% ± 0.21). Respondents with both PTSD and partial PTSD most commonly reported unexpected death of someone close, serious illness or injury to someone close, and sexual assault as their worst stressful experiences. PTSD and partial PTSD were associated with elevated lifetime rates of mood, anxiety, and substance use disorders, and suicide attempts. Respondents with partial PTSD generally had intermediate odds of comorbid Axis I disorders and psychosocial impairment relative to trauma controls and full PTSD.","container-title":"Journal of Anxiety Disorders","DOI":"10.1016/j.janxdis.2010.11.010","ISSN":"1873-7897","issue":"3","journalAbbreviation":"J Anxiety Disord","language":"eng","note":"PMID: 21168991\nPMCID: PMC3051041","page":"456-465","source":"PubMed","title":"Prevalence and Axis I comorbidity of full and partial posttraumatic stress disorder in the United States: results from Wave 2 of the National Epidemiologic Survey on Alcohol and Related Conditions","title-short":"Prevalence and Axis I comorbidity of full and partial posttraumatic stress disorder in the United States","volume":"25","author":[{"family":"Pietrzak","given":"Robert H."},{"family":"Goldstein","given":"Risë B."},{"family":"Southwick","given":"Steven M."},{"family":"Grant","given":"Bridget F."}],"issued":{"date-parts":[["2011",4]]}}}],"schema":"https://github.com/citation-style-language/schema/raw/master/csl-citation.json"} </w:instrText>
      </w:r>
      <w:r w:rsidRPr="00447517">
        <w:rPr>
          <w:color w:val="000000"/>
          <w:shd w:val="clear" w:color="auto" w:fill="FFFFFF"/>
        </w:rPr>
        <w:fldChar w:fldCharType="separate"/>
      </w:r>
      <w:r w:rsidRPr="00447517">
        <w:rPr>
          <w:noProof/>
          <w:color w:val="000000"/>
          <w:shd w:val="clear" w:color="auto" w:fill="FFFFFF"/>
        </w:rPr>
        <w:t>(Pietrzak et al. 2011)</w:t>
      </w:r>
      <w:r w:rsidRPr="00447517">
        <w:rPr>
          <w:color w:val="000000"/>
          <w:shd w:val="clear" w:color="auto" w:fill="FFFFFF"/>
        </w:rPr>
        <w:fldChar w:fldCharType="end"/>
      </w:r>
      <w:r w:rsidRPr="00447517">
        <w:rPr>
          <w:color w:val="000000"/>
          <w:shd w:val="clear" w:color="auto" w:fill="FFFFFF"/>
        </w:rPr>
        <w:t xml:space="preserve">, further exacerbates chronic inflammation </w:t>
      </w:r>
      <w:r w:rsidRPr="00447517">
        <w:rPr>
          <w:color w:val="000000"/>
          <w:shd w:val="clear" w:color="auto" w:fill="FFFFFF"/>
        </w:rPr>
        <w:fldChar w:fldCharType="begin"/>
      </w:r>
      <w:r w:rsidRPr="00447517">
        <w:rPr>
          <w:color w:val="000000"/>
          <w:shd w:val="clear" w:color="auto" w:fill="FFFFFF"/>
        </w:rPr>
        <w:instrText xml:space="preserve"> ADDIN ZOTERO_ITEM CSL_CITATION {"citationID":"zHeN8xMc","properties":{"formattedCitation":"(Fubini and Hubbard 2003)","plainCitation":"(Fubini and Hubbard 2003)","noteIndex":0},"citationItems":[{"id":718,"uris":["http://zotero.org/users/local/wdQKiz3s/items/GYFL8TJV"],"uri":["http://zotero.org/users/local/wdQKiz3s/items/GYFL8TJV"],"itemData":{"id":718,"type":"article-journal","abstract":"Exposure to particulate silica (most crystalline polymorphs) causes a persistent inflammation sustained by the release of oxidants in the alveolar space. Reactive oxygen species (ROS), which include hydroxyl radical, superoxide anion, hydrogen peroxide, and singlet oxygen, are generated not only at the particle surface, but also by phagocytic cells attempting to digest the silica particle. Two distinct kinds of surface centers-silica-based surface radicals and poorly coordinated iron ions-generate O(2)(*)(-) and HO(*) in aqueous solution via different mechanisms. Crystalline silica is also a potent stimulant of the respiratory burst in phagocytic cells with increased oxygen consumption and production of O(*)(-), H(2)O(2), and NO leading to acute inflammation and HO(*) generation in the lung. Oxidative stress elicited by crystalline silica is also evidenced by increased expression of antioxidant enzymes such as manganese superoxide dismutase (Mn-SOD) and glutathione peroxidase, and the enzyme inducible nitric oxide synthase (iNOS). Generation of oxidants by crystalline silica particles and by silica-activated cells results in cell and lung injury, activation of cell signaling pathways to include MAPK/ERK kinase (MEK), and extracellular signal-regulated kinase (ERK) phosphorylation, increased expression of inflammatory cytokines (e.g., tumor necrosis factoralpha [TNFalpha], interleukin-1 [IL-1]), and activation of specific transcription factors (e.g., NFkappaB, AP-1). Silica can also initiate apoptosis in response to oxygen- and nitrogen-based free radicals, leading to mitochondrial dysfunction, increased gene expression of death receptors, and/or their ligands (TNFalpha, Fas ligand [FasL]).","container-title":"Free Radical Biology &amp; Medicine","DOI":"10.1016/s0891-5849(03)00149-7","ISSN":"0891-5849","issue":"12","journalAbbreviation":"Free Radic Biol Med","language":"eng","note":"PMID: 12788471","page":"1507-1516","source":"PubMed","title":"Reactive oxygen species (ROS) and reactive nitrogen species (RNS) generation by silica in inflammation and fibrosis","volume":"34","author":[{"family":"Fubini","given":"Bice"},{"family":"Hubbard","given":"Andrea"}],"issued":{"date-parts":[["2003",6,15]]}}}],"schema":"https://github.com/citation-style-language/schema/raw/master/csl-citation.json"} </w:instrText>
      </w:r>
      <w:r w:rsidRPr="00447517">
        <w:rPr>
          <w:color w:val="000000"/>
          <w:shd w:val="clear" w:color="auto" w:fill="FFFFFF"/>
        </w:rPr>
        <w:fldChar w:fldCharType="separate"/>
      </w:r>
      <w:r w:rsidRPr="00447517">
        <w:rPr>
          <w:noProof/>
          <w:color w:val="000000"/>
          <w:shd w:val="clear" w:color="auto" w:fill="FFFFFF"/>
        </w:rPr>
        <w:t>(Fubini and Hubbard 2003)</w:t>
      </w:r>
      <w:r w:rsidRPr="00447517">
        <w:rPr>
          <w:color w:val="000000"/>
          <w:shd w:val="clear" w:color="auto" w:fill="FFFFFF"/>
        </w:rPr>
        <w:fldChar w:fldCharType="end"/>
      </w:r>
      <w:r w:rsidRPr="00447517">
        <w:rPr>
          <w:color w:val="000000"/>
          <w:shd w:val="clear" w:color="auto" w:fill="FFFFFF"/>
        </w:rPr>
        <w:t xml:space="preserve">. Furthermore, the gut microbiome </w:t>
      </w:r>
      <w:r w:rsidR="007464B7">
        <w:rPr>
          <w:color w:val="000000"/>
          <w:shd w:val="clear" w:color="auto" w:fill="FFFFFF"/>
        </w:rPr>
        <w:t xml:space="preserve"> provide support for a functional immune system and requires a diet </w:t>
      </w:r>
      <w:r w:rsidR="00DB0BB6">
        <w:rPr>
          <w:color w:val="000000"/>
          <w:shd w:val="clear" w:color="auto" w:fill="FFFFFF"/>
        </w:rPr>
        <w:t xml:space="preserve">(prebiotic diet) </w:t>
      </w:r>
      <w:r>
        <w:rPr>
          <w:color w:val="000000"/>
          <w:shd w:val="clear" w:color="auto" w:fill="FFFFFF"/>
        </w:rPr>
        <w:t xml:space="preserve">that supplies the types of carbohydrates that are not digested by humans </w:t>
      </w:r>
      <w:r w:rsidR="007E1F91">
        <w:rPr>
          <w:color w:val="000000"/>
          <w:shd w:val="clear" w:color="auto" w:fill="FFFFFF"/>
        </w:rPr>
        <w:t>but</w:t>
      </w:r>
      <w:r>
        <w:rPr>
          <w:color w:val="000000"/>
          <w:shd w:val="clear" w:color="auto" w:fill="FFFFFF"/>
        </w:rPr>
        <w:t xml:space="preserve"> are starting materials for the formation of gene regulators like butyrate by colonic bacteria (Brenner et al. 2017)</w:t>
      </w:r>
      <w:r w:rsidRPr="00447517">
        <w:rPr>
          <w:color w:val="000000"/>
          <w:shd w:val="clear" w:color="auto" w:fill="FFFFFF"/>
        </w:rPr>
        <w:t xml:space="preserve">. </w:t>
      </w:r>
    </w:p>
    <w:p w14:paraId="04209532" w14:textId="77777777" w:rsidR="00A95BD3" w:rsidRDefault="00A95BD3" w:rsidP="00A95BD3">
      <w:pPr>
        <w:spacing w:line="480" w:lineRule="auto"/>
        <w:rPr>
          <w:color w:val="000000"/>
          <w:shd w:val="clear" w:color="auto" w:fill="FFFFFF"/>
        </w:rPr>
      </w:pPr>
    </w:p>
    <w:p w14:paraId="02609EB5" w14:textId="01E4BD24" w:rsidR="00E64CF8" w:rsidRDefault="00DB0BB6" w:rsidP="00A95BD3">
      <w:pPr>
        <w:spacing w:line="480" w:lineRule="auto"/>
        <w:rPr>
          <w:color w:val="000000"/>
          <w:shd w:val="clear" w:color="auto" w:fill="FFFFFF"/>
        </w:rPr>
      </w:pPr>
      <w:r>
        <w:rPr>
          <w:color w:val="000000"/>
          <w:shd w:val="clear" w:color="auto" w:fill="FFFFFF"/>
        </w:rPr>
        <w:t>As stated above, c</w:t>
      </w:r>
      <w:r w:rsidR="00A95BD3">
        <w:rPr>
          <w:color w:val="000000"/>
          <w:shd w:val="clear" w:color="auto" w:fill="FFFFFF"/>
        </w:rPr>
        <w:t xml:space="preserve">ell membranes in the brain need to be </w:t>
      </w:r>
      <w:r>
        <w:rPr>
          <w:color w:val="000000"/>
          <w:shd w:val="clear" w:color="auto" w:fill="FFFFFF"/>
        </w:rPr>
        <w:t xml:space="preserve">of the right </w:t>
      </w:r>
      <w:r w:rsidR="00A95BD3">
        <w:rPr>
          <w:color w:val="000000"/>
          <w:shd w:val="clear" w:color="auto" w:fill="FFFFFF"/>
        </w:rPr>
        <w:t>fluid</w:t>
      </w:r>
      <w:r>
        <w:rPr>
          <w:color w:val="000000"/>
          <w:shd w:val="clear" w:color="auto" w:fill="FFFFFF"/>
        </w:rPr>
        <w:t>ity to support</w:t>
      </w:r>
      <w:r w:rsidR="00A95BD3">
        <w:rPr>
          <w:color w:val="000000"/>
          <w:shd w:val="clear" w:color="auto" w:fill="FFFFFF"/>
        </w:rPr>
        <w:t xml:space="preserve"> the sodium-potassium pumps in </w:t>
      </w:r>
      <w:r>
        <w:rPr>
          <w:color w:val="000000"/>
          <w:shd w:val="clear" w:color="auto" w:fill="FFFFFF"/>
        </w:rPr>
        <w:t xml:space="preserve">generating </w:t>
      </w:r>
      <w:r w:rsidR="00A95BD3">
        <w:rPr>
          <w:color w:val="000000"/>
          <w:shd w:val="clear" w:color="auto" w:fill="FFFFFF"/>
        </w:rPr>
        <w:t xml:space="preserve">the </w:t>
      </w:r>
      <w:r w:rsidR="00E63A5C">
        <w:rPr>
          <w:color w:val="000000"/>
          <w:shd w:val="clear" w:color="auto" w:fill="FFFFFF"/>
        </w:rPr>
        <w:t>electro</w:t>
      </w:r>
      <w:r w:rsidR="00A95BD3">
        <w:rPr>
          <w:color w:val="000000"/>
          <w:shd w:val="clear" w:color="auto" w:fill="FFFFFF"/>
        </w:rPr>
        <w:t xml:space="preserve">chemical gradients required </w:t>
      </w:r>
      <w:r w:rsidR="005D0622">
        <w:rPr>
          <w:color w:val="000000"/>
          <w:shd w:val="clear" w:color="auto" w:fill="FFFFFF"/>
        </w:rPr>
        <w:t>for normal</w:t>
      </w:r>
      <w:r w:rsidR="00A95BD3">
        <w:rPr>
          <w:color w:val="000000"/>
          <w:shd w:val="clear" w:color="auto" w:fill="FFFFFF"/>
        </w:rPr>
        <w:t xml:space="preserve"> neuronal activity (Adams et al. 2016). </w:t>
      </w:r>
      <w:r w:rsidR="005D0622">
        <w:rPr>
          <w:color w:val="000000"/>
          <w:shd w:val="clear" w:color="auto" w:fill="FFFFFF"/>
        </w:rPr>
        <w:t xml:space="preserve">Omega-3 fatty acids </w:t>
      </w:r>
      <w:r w:rsidR="0076123E">
        <w:rPr>
          <w:color w:val="000000"/>
          <w:shd w:val="clear" w:color="auto" w:fill="FFFFFF"/>
        </w:rPr>
        <w:t>have been suggested to ameliorate the neuronal dysfunction a</w:t>
      </w:r>
      <w:r w:rsidR="008C77C5">
        <w:rPr>
          <w:color w:val="000000"/>
          <w:shd w:val="clear" w:color="auto" w:fill="FFFFFF"/>
        </w:rPr>
        <w:t>s well as</w:t>
      </w:r>
      <w:r w:rsidR="0076123E">
        <w:rPr>
          <w:color w:val="000000"/>
          <w:shd w:val="clear" w:color="auto" w:fill="FFFFFF"/>
        </w:rPr>
        <w:t xml:space="preserve"> inflammation seen in PTSD and similar impairments </w:t>
      </w:r>
      <w:r w:rsidR="006D669A">
        <w:rPr>
          <w:color w:val="000000"/>
          <w:shd w:val="clear" w:color="auto" w:fill="FFFFFF"/>
        </w:rPr>
        <w:t>(</w:t>
      </w:r>
      <w:proofErr w:type="spellStart"/>
      <w:r w:rsidR="006D669A">
        <w:rPr>
          <w:color w:val="000000"/>
          <w:shd w:val="clear" w:color="auto" w:fill="FFFFFF"/>
        </w:rPr>
        <w:t>Hasadsri</w:t>
      </w:r>
      <w:proofErr w:type="spellEnd"/>
      <w:r w:rsidR="006D669A">
        <w:rPr>
          <w:color w:val="000000"/>
          <w:shd w:val="clear" w:color="auto" w:fill="FFFFFF"/>
        </w:rPr>
        <w:t xml:space="preserve"> et al. 2013). Sufficient dietary intake of omega-3 fatty acids </w:t>
      </w:r>
      <w:r w:rsidR="00A46DBD">
        <w:rPr>
          <w:color w:val="000000"/>
          <w:shd w:val="clear" w:color="auto" w:fill="FFFFFF"/>
        </w:rPr>
        <w:t xml:space="preserve">(docosahexaenoic acid, DHA and </w:t>
      </w:r>
      <w:proofErr w:type="spellStart"/>
      <w:r w:rsidR="00A46DBD">
        <w:rPr>
          <w:color w:val="000000"/>
          <w:shd w:val="clear" w:color="auto" w:fill="FFFFFF"/>
        </w:rPr>
        <w:t>eicosapen</w:t>
      </w:r>
      <w:r w:rsidR="005D666A">
        <w:rPr>
          <w:color w:val="000000"/>
          <w:shd w:val="clear" w:color="auto" w:fill="FFFFFF"/>
        </w:rPr>
        <w:t>taenoic</w:t>
      </w:r>
      <w:proofErr w:type="spellEnd"/>
      <w:r w:rsidR="005D666A">
        <w:rPr>
          <w:color w:val="000000"/>
          <w:shd w:val="clear" w:color="auto" w:fill="FFFFFF"/>
        </w:rPr>
        <w:t xml:space="preserve"> acid, EPA) may thus support the </w:t>
      </w:r>
      <w:r w:rsidR="002E4358" w:rsidRPr="007E1701">
        <w:t>Na</w:t>
      </w:r>
      <w:r w:rsidR="002E4358" w:rsidRPr="007E1701">
        <w:rPr>
          <w:vertAlign w:val="superscript"/>
        </w:rPr>
        <w:t>+</w:t>
      </w:r>
      <w:r w:rsidR="002E4358" w:rsidRPr="007E1701">
        <w:t>/K</w:t>
      </w:r>
      <w:r w:rsidR="002E4358" w:rsidRPr="007E1701">
        <w:rPr>
          <w:vertAlign w:val="superscript"/>
        </w:rPr>
        <w:t>+</w:t>
      </w:r>
      <w:r w:rsidR="002E4358">
        <w:t xml:space="preserve"> pumps </w:t>
      </w:r>
      <w:r w:rsidR="009037DF">
        <w:t xml:space="preserve">and counteract PTSD-related </w:t>
      </w:r>
      <w:r w:rsidR="009037DF" w:rsidRPr="007E1701">
        <w:t>Na</w:t>
      </w:r>
      <w:r w:rsidR="009037DF" w:rsidRPr="007E1701">
        <w:rPr>
          <w:vertAlign w:val="superscript"/>
        </w:rPr>
        <w:t>+</w:t>
      </w:r>
      <w:r w:rsidR="009037DF" w:rsidRPr="007E1701">
        <w:t>/K</w:t>
      </w:r>
      <w:r w:rsidR="009037DF" w:rsidRPr="007E1701">
        <w:rPr>
          <w:vertAlign w:val="superscript"/>
        </w:rPr>
        <w:t>+</w:t>
      </w:r>
      <w:r w:rsidR="009037DF" w:rsidRPr="007E1701">
        <w:t xml:space="preserve"> </w:t>
      </w:r>
      <w:r w:rsidR="009037DF">
        <w:t>pump impairment (</w:t>
      </w:r>
      <w:proofErr w:type="spellStart"/>
      <w:r w:rsidR="009037DF">
        <w:t>Alquraan</w:t>
      </w:r>
      <w:proofErr w:type="spellEnd"/>
      <w:r w:rsidR="009037DF">
        <w:t xml:space="preserve"> et al. 2019). </w:t>
      </w:r>
      <w:r w:rsidR="009037DF">
        <w:rPr>
          <w:color w:val="000000"/>
          <w:shd w:val="clear" w:color="auto" w:fill="FFFFFF"/>
        </w:rPr>
        <w:t>S</w:t>
      </w:r>
      <w:r w:rsidR="00A95BD3">
        <w:rPr>
          <w:color w:val="000000"/>
          <w:shd w:val="clear" w:color="auto" w:fill="FFFFFF"/>
        </w:rPr>
        <w:t>upplementing PTSD patients with omega-3 polyunsaturated fatty acids</w:t>
      </w:r>
      <w:r w:rsidR="00940082">
        <w:rPr>
          <w:color w:val="000000"/>
          <w:shd w:val="clear" w:color="auto" w:fill="FFFFFF"/>
        </w:rPr>
        <w:t xml:space="preserve"> may</w:t>
      </w:r>
      <w:r w:rsidR="00A95BD3">
        <w:rPr>
          <w:color w:val="000000"/>
          <w:shd w:val="clear" w:color="auto" w:fill="FFFFFF"/>
        </w:rPr>
        <w:t xml:space="preserve"> provides the membranes of neurons</w:t>
      </w:r>
      <w:r w:rsidR="00940082">
        <w:rPr>
          <w:color w:val="000000"/>
          <w:shd w:val="clear" w:color="auto" w:fill="FFFFFF"/>
        </w:rPr>
        <w:t xml:space="preserve"> with</w:t>
      </w:r>
      <w:r w:rsidR="00A95BD3">
        <w:rPr>
          <w:color w:val="000000"/>
          <w:shd w:val="clear" w:color="auto" w:fill="FFFFFF"/>
        </w:rPr>
        <w:t xml:space="preserve"> the components </w:t>
      </w:r>
      <w:r w:rsidR="00940082">
        <w:rPr>
          <w:color w:val="000000"/>
          <w:shd w:val="clear" w:color="auto" w:fill="FFFFFF"/>
        </w:rPr>
        <w:t xml:space="preserve">required to </w:t>
      </w:r>
      <w:r w:rsidR="00A95BD3">
        <w:rPr>
          <w:color w:val="000000"/>
          <w:shd w:val="clear" w:color="auto" w:fill="FFFFFF"/>
        </w:rPr>
        <w:t xml:space="preserve">alleviate anxiety and </w:t>
      </w:r>
      <w:r w:rsidR="008C77C5">
        <w:rPr>
          <w:color w:val="000000"/>
          <w:shd w:val="clear" w:color="auto" w:fill="FFFFFF"/>
        </w:rPr>
        <w:t xml:space="preserve">electrochemical imbalances in the brain </w:t>
      </w:r>
      <w:r w:rsidR="00A95BD3">
        <w:rPr>
          <w:color w:val="000000"/>
          <w:shd w:val="clear" w:color="auto" w:fill="FFFFFF"/>
        </w:rPr>
        <w:t>(</w:t>
      </w:r>
      <w:proofErr w:type="spellStart"/>
      <w:r w:rsidR="00A95BD3">
        <w:rPr>
          <w:color w:val="000000"/>
          <w:shd w:val="clear" w:color="auto" w:fill="FFFFFF"/>
        </w:rPr>
        <w:t>Alquraan</w:t>
      </w:r>
      <w:proofErr w:type="spellEnd"/>
      <w:r w:rsidR="00A95BD3">
        <w:rPr>
          <w:color w:val="000000"/>
          <w:shd w:val="clear" w:color="auto" w:fill="FFFFFF"/>
        </w:rPr>
        <w:t xml:space="preserve"> et al. 2019).</w:t>
      </w:r>
      <w:r w:rsidR="00AB2642">
        <w:rPr>
          <w:color w:val="000000"/>
          <w:shd w:val="clear" w:color="auto" w:fill="FFFFFF"/>
        </w:rPr>
        <w:t xml:space="preserve"> </w:t>
      </w:r>
      <w:r w:rsidR="00206112">
        <w:rPr>
          <w:color w:val="000000"/>
          <w:shd w:val="clear" w:color="auto" w:fill="FFFFFF"/>
        </w:rPr>
        <w:t xml:space="preserve">The beneficial effect of </w:t>
      </w:r>
      <w:r w:rsidR="00FC5289">
        <w:rPr>
          <w:color w:val="000000"/>
          <w:shd w:val="clear" w:color="auto" w:fill="FFFFFF"/>
        </w:rPr>
        <w:t xml:space="preserve">consuming omega-3 oils, antioxidants, and </w:t>
      </w:r>
      <w:r w:rsidR="00974172">
        <w:rPr>
          <w:color w:val="000000"/>
          <w:shd w:val="clear" w:color="auto" w:fill="FFFFFF"/>
        </w:rPr>
        <w:t xml:space="preserve">multiple other plant compounds </w:t>
      </w:r>
      <w:r w:rsidR="00AB410F">
        <w:rPr>
          <w:color w:val="000000"/>
          <w:shd w:val="clear" w:color="auto" w:fill="FFFFFF"/>
        </w:rPr>
        <w:t xml:space="preserve">can be seen in a Mediterranean diet which has shown to ameliorate depressive </w:t>
      </w:r>
      <w:r w:rsidR="00A632E9">
        <w:rPr>
          <w:color w:val="000000"/>
          <w:shd w:val="clear" w:color="auto" w:fill="FFFFFF"/>
        </w:rPr>
        <w:t xml:space="preserve">symptoms </w:t>
      </w:r>
      <w:r w:rsidR="00782743">
        <w:rPr>
          <w:color w:val="000000"/>
          <w:shd w:val="clear" w:color="auto" w:fill="FFFFFF"/>
        </w:rPr>
        <w:t>(Sánchez</w:t>
      </w:r>
      <w:r w:rsidR="007D0671">
        <w:rPr>
          <w:color w:val="000000"/>
          <w:shd w:val="clear" w:color="auto" w:fill="FFFFFF"/>
        </w:rPr>
        <w:t>-Villegas et al. 2019).</w:t>
      </w:r>
    </w:p>
    <w:p w14:paraId="42E1474E" w14:textId="461CB6BB" w:rsidR="00E64CF8" w:rsidRDefault="00E64CF8" w:rsidP="00A95BD3">
      <w:pPr>
        <w:spacing w:line="480" w:lineRule="auto"/>
        <w:rPr>
          <w:color w:val="000000"/>
          <w:shd w:val="clear" w:color="auto" w:fill="FFFFFF"/>
        </w:rPr>
      </w:pPr>
      <w:r>
        <w:rPr>
          <w:noProof/>
          <w:color w:val="000000"/>
          <w:shd w:val="clear" w:color="auto" w:fill="FFFFFF"/>
        </w:rPr>
        <w:lastRenderedPageBreak/>
        <w:drawing>
          <wp:inline distT="0" distB="0" distL="0" distR="0" wp14:anchorId="6404D9AF" wp14:editId="008C2946">
            <wp:extent cx="5943600" cy="3767929"/>
            <wp:effectExtent l="0" t="0" r="0" b="444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3767929"/>
                    </a:xfrm>
                    <a:prstGeom prst="rect">
                      <a:avLst/>
                    </a:prstGeom>
                  </pic:spPr>
                </pic:pic>
              </a:graphicData>
            </a:graphic>
          </wp:inline>
        </w:drawing>
      </w:r>
    </w:p>
    <w:p w14:paraId="6244DCBB" w14:textId="20F15C2E" w:rsidR="000F7C32" w:rsidRDefault="00B65004" w:rsidP="007A1D40">
      <w:pPr>
        <w:spacing w:line="480" w:lineRule="auto"/>
        <w:rPr>
          <w:color w:val="000000"/>
          <w:shd w:val="clear" w:color="auto" w:fill="FFFFFF"/>
        </w:rPr>
      </w:pPr>
      <w:r>
        <w:rPr>
          <w:color w:val="000000"/>
          <w:shd w:val="clear" w:color="auto" w:fill="FFFFFF"/>
        </w:rPr>
        <w:t xml:space="preserve">Figure </w:t>
      </w:r>
      <w:r w:rsidR="00117082">
        <w:rPr>
          <w:color w:val="000000"/>
          <w:shd w:val="clear" w:color="auto" w:fill="FFFFFF"/>
        </w:rPr>
        <w:t>2</w:t>
      </w:r>
      <w:r>
        <w:rPr>
          <w:color w:val="000000"/>
          <w:shd w:val="clear" w:color="auto" w:fill="FFFFFF"/>
        </w:rPr>
        <w:t xml:space="preserve">: </w:t>
      </w:r>
      <w:r w:rsidR="00940082">
        <w:rPr>
          <w:color w:val="000000"/>
          <w:shd w:val="clear" w:color="auto" w:fill="FFFFFF"/>
        </w:rPr>
        <w:t>Schematic depict</w:t>
      </w:r>
      <w:r w:rsidR="006E67C1">
        <w:rPr>
          <w:color w:val="000000"/>
          <w:shd w:val="clear" w:color="auto" w:fill="FFFFFF"/>
        </w:rPr>
        <w:t xml:space="preserve">ion of the </w:t>
      </w:r>
      <w:r w:rsidR="006E67C1" w:rsidRPr="007E1701">
        <w:t>Na</w:t>
      </w:r>
      <w:r w:rsidR="006E67C1" w:rsidRPr="007E1701">
        <w:rPr>
          <w:vertAlign w:val="superscript"/>
        </w:rPr>
        <w:t>+</w:t>
      </w:r>
      <w:r w:rsidR="006E67C1" w:rsidRPr="007E1701">
        <w:t>/K</w:t>
      </w:r>
      <w:r w:rsidR="006E67C1" w:rsidRPr="007E1701">
        <w:rPr>
          <w:vertAlign w:val="superscript"/>
        </w:rPr>
        <w:t>+</w:t>
      </w:r>
      <w:r w:rsidR="006E67C1" w:rsidRPr="007E1701">
        <w:t xml:space="preserve"> </w:t>
      </w:r>
      <w:r w:rsidR="006E67C1">
        <w:t xml:space="preserve">pump that creates the electrochemical gradient needed to produce electrical impulses and the role of </w:t>
      </w:r>
      <w:r w:rsidR="00D16DB3">
        <w:t>dietary fatty acids and membrane fluidity.</w:t>
      </w:r>
      <w:r>
        <w:rPr>
          <w:color w:val="000000"/>
          <w:shd w:val="clear" w:color="auto" w:fill="FFFFFF"/>
        </w:rPr>
        <w:t xml:space="preserve"> </w:t>
      </w:r>
      <w:r w:rsidR="00D16DB3">
        <w:rPr>
          <w:color w:val="000000"/>
          <w:shd w:val="clear" w:color="auto" w:fill="FFFFFF"/>
        </w:rPr>
        <w:t>Membrane f</w:t>
      </w:r>
      <w:r>
        <w:rPr>
          <w:color w:val="000000"/>
          <w:shd w:val="clear" w:color="auto" w:fill="FFFFFF"/>
        </w:rPr>
        <w:t>luidity</w:t>
      </w:r>
      <w:r w:rsidR="00D16DB3">
        <w:rPr>
          <w:color w:val="000000"/>
          <w:shd w:val="clear" w:color="auto" w:fill="FFFFFF"/>
        </w:rPr>
        <w:t xml:space="preserve"> requires</w:t>
      </w:r>
      <w:r>
        <w:rPr>
          <w:color w:val="000000"/>
          <w:shd w:val="clear" w:color="auto" w:fill="FFFFFF"/>
        </w:rPr>
        <w:t xml:space="preserve"> sufficient amounts of polyunsaturated</w:t>
      </w:r>
      <w:r w:rsidR="002D292C">
        <w:rPr>
          <w:color w:val="000000"/>
          <w:shd w:val="clear" w:color="auto" w:fill="FFFFFF"/>
        </w:rPr>
        <w:t xml:space="preserve"> omega-3</w:t>
      </w:r>
      <w:r>
        <w:rPr>
          <w:color w:val="000000"/>
          <w:shd w:val="clear" w:color="auto" w:fill="FFFFFF"/>
        </w:rPr>
        <w:t xml:space="preserve"> fat</w:t>
      </w:r>
      <w:r w:rsidR="002D292C">
        <w:rPr>
          <w:color w:val="000000"/>
          <w:shd w:val="clear" w:color="auto" w:fill="FFFFFF"/>
        </w:rPr>
        <w:t>ty acids as part of</w:t>
      </w:r>
      <w:r>
        <w:rPr>
          <w:color w:val="000000"/>
          <w:shd w:val="clear" w:color="auto" w:fill="FFFFFF"/>
        </w:rPr>
        <w:t xml:space="preserve"> </w:t>
      </w:r>
      <w:r w:rsidR="002D292C">
        <w:rPr>
          <w:color w:val="000000"/>
          <w:shd w:val="clear" w:color="auto" w:fill="FFFFFF"/>
        </w:rPr>
        <w:t>membrane phospholipids</w:t>
      </w:r>
      <w:r>
        <w:rPr>
          <w:color w:val="000000"/>
          <w:shd w:val="clear" w:color="auto" w:fill="FFFFFF"/>
        </w:rPr>
        <w:t xml:space="preserve">. The </w:t>
      </w:r>
      <w:r w:rsidR="00174115">
        <w:rPr>
          <w:color w:val="000000"/>
          <w:shd w:val="clear" w:color="auto" w:fill="FFFFFF"/>
        </w:rPr>
        <w:t xml:space="preserve">multiple </w:t>
      </w:r>
      <w:r>
        <w:rPr>
          <w:color w:val="000000"/>
          <w:shd w:val="clear" w:color="auto" w:fill="FFFFFF"/>
        </w:rPr>
        <w:t xml:space="preserve">kinks and bent shape of the fatty acid tails in DHA </w:t>
      </w:r>
      <w:r w:rsidR="00174115">
        <w:rPr>
          <w:color w:val="000000"/>
          <w:shd w:val="clear" w:color="auto" w:fill="FFFFFF"/>
        </w:rPr>
        <w:t>(docosahexaenoic acid) and</w:t>
      </w:r>
      <w:r>
        <w:rPr>
          <w:color w:val="000000"/>
          <w:shd w:val="clear" w:color="auto" w:fill="FFFFFF"/>
        </w:rPr>
        <w:t xml:space="preserve"> EPA </w:t>
      </w:r>
      <w:r w:rsidR="00174115">
        <w:rPr>
          <w:color w:val="000000"/>
          <w:shd w:val="clear" w:color="auto" w:fill="FFFFFF"/>
        </w:rPr>
        <w:t>(</w:t>
      </w:r>
      <w:proofErr w:type="spellStart"/>
      <w:r w:rsidR="00174115">
        <w:rPr>
          <w:color w:val="000000"/>
          <w:shd w:val="clear" w:color="auto" w:fill="FFFFFF"/>
        </w:rPr>
        <w:t>eicosapentaenoic</w:t>
      </w:r>
      <w:proofErr w:type="spellEnd"/>
      <w:r w:rsidR="00174115">
        <w:rPr>
          <w:color w:val="000000"/>
          <w:shd w:val="clear" w:color="auto" w:fill="FFFFFF"/>
        </w:rPr>
        <w:t xml:space="preserve"> </w:t>
      </w:r>
      <w:proofErr w:type="spellStart"/>
      <w:r w:rsidR="00174115">
        <w:rPr>
          <w:color w:val="000000"/>
          <w:shd w:val="clear" w:color="auto" w:fill="FFFFFF"/>
        </w:rPr>
        <w:t xml:space="preserve">acid) </w:t>
      </w:r>
      <w:r>
        <w:rPr>
          <w:color w:val="000000"/>
          <w:shd w:val="clear" w:color="auto" w:fill="FFFFFF"/>
        </w:rPr>
        <w:t>prevent</w:t>
      </w:r>
      <w:proofErr w:type="spellEnd"/>
      <w:r>
        <w:rPr>
          <w:color w:val="000000"/>
          <w:shd w:val="clear" w:color="auto" w:fill="FFFFFF"/>
        </w:rPr>
        <w:t xml:space="preserve"> the phospholipid bilayer from becoming too tightly packed and rigid. This resulting fluidity allows the sodium-potassium pumps to undergo the necessary conformational changes to generate an electrical </w:t>
      </w:r>
      <w:r w:rsidR="005D08D5">
        <w:rPr>
          <w:color w:val="000000"/>
          <w:shd w:val="clear" w:color="auto" w:fill="FFFFFF"/>
        </w:rPr>
        <w:t>gradient across the membrane</w:t>
      </w:r>
      <w:r>
        <w:rPr>
          <w:color w:val="000000"/>
          <w:shd w:val="clear" w:color="auto" w:fill="FFFFFF"/>
        </w:rPr>
        <w:t>.</w:t>
      </w:r>
    </w:p>
    <w:p w14:paraId="1C2B7340" w14:textId="77777777" w:rsidR="00B65004" w:rsidRPr="00B65004" w:rsidRDefault="00B65004" w:rsidP="007A1D40">
      <w:pPr>
        <w:spacing w:line="480" w:lineRule="auto"/>
        <w:rPr>
          <w:color w:val="000000"/>
          <w:shd w:val="clear" w:color="auto" w:fill="FFFFFF"/>
        </w:rPr>
      </w:pPr>
    </w:p>
    <w:p w14:paraId="58F750FE" w14:textId="5198E0D6" w:rsidR="0083142C" w:rsidRDefault="0083142C" w:rsidP="007A1D40">
      <w:pPr>
        <w:pStyle w:val="ListParagraph"/>
        <w:numPr>
          <w:ilvl w:val="0"/>
          <w:numId w:val="4"/>
        </w:numPr>
        <w:spacing w:line="480" w:lineRule="auto"/>
        <w:rPr>
          <w:rFonts w:ascii="Times New Roman" w:eastAsia="Times New Roman" w:hAnsi="Times New Roman"/>
          <w:b/>
          <w:bCs/>
        </w:rPr>
      </w:pPr>
      <w:r>
        <w:rPr>
          <w:rFonts w:ascii="Times New Roman" w:eastAsia="Times New Roman" w:hAnsi="Times New Roman"/>
          <w:b/>
          <w:bCs/>
        </w:rPr>
        <w:t xml:space="preserve">Literature synthesis </w:t>
      </w:r>
      <w:r w:rsidR="002B2465">
        <w:rPr>
          <w:rFonts w:ascii="Times New Roman" w:eastAsia="Times New Roman" w:hAnsi="Times New Roman"/>
          <w:b/>
          <w:bCs/>
        </w:rPr>
        <w:t xml:space="preserve">linking multiple factors </w:t>
      </w:r>
      <w:r w:rsidR="00E6546E">
        <w:rPr>
          <w:rFonts w:ascii="Times New Roman" w:eastAsia="Times New Roman" w:hAnsi="Times New Roman"/>
          <w:b/>
          <w:bCs/>
        </w:rPr>
        <w:t xml:space="preserve">that </w:t>
      </w:r>
      <w:r w:rsidR="002B2465">
        <w:rPr>
          <w:rFonts w:ascii="Times New Roman" w:eastAsia="Times New Roman" w:hAnsi="Times New Roman"/>
          <w:b/>
          <w:bCs/>
        </w:rPr>
        <w:t>affect PTSD to chronic inflammation</w:t>
      </w:r>
    </w:p>
    <w:p w14:paraId="21CC72AD" w14:textId="497E02A7" w:rsidR="002B2465" w:rsidRDefault="002B2465" w:rsidP="002B2465">
      <w:pPr>
        <w:spacing w:line="480" w:lineRule="auto"/>
      </w:pPr>
    </w:p>
    <w:p w14:paraId="0238AA8C" w14:textId="7434F580" w:rsidR="002B2465" w:rsidRDefault="00733837" w:rsidP="00733837">
      <w:pPr>
        <w:spacing w:line="480" w:lineRule="auto"/>
        <w:rPr>
          <w:i/>
          <w:iCs/>
        </w:rPr>
      </w:pPr>
      <w:r>
        <w:rPr>
          <w:i/>
          <w:iCs/>
        </w:rPr>
        <w:t>The link between s</w:t>
      </w:r>
      <w:r w:rsidR="002B2465">
        <w:rPr>
          <w:i/>
          <w:iCs/>
        </w:rPr>
        <w:t>tress</w:t>
      </w:r>
      <w:r>
        <w:rPr>
          <w:i/>
          <w:iCs/>
        </w:rPr>
        <w:t xml:space="preserve"> </w:t>
      </w:r>
      <w:r w:rsidR="002B2465">
        <w:rPr>
          <w:i/>
          <w:iCs/>
        </w:rPr>
        <w:t>hormon</w:t>
      </w:r>
      <w:r>
        <w:rPr>
          <w:i/>
          <w:iCs/>
        </w:rPr>
        <w:t xml:space="preserve">es </w:t>
      </w:r>
      <w:r w:rsidR="002B2465">
        <w:rPr>
          <w:i/>
          <w:iCs/>
        </w:rPr>
        <w:t>and chronic inflammation</w:t>
      </w:r>
    </w:p>
    <w:p w14:paraId="1C6AA887" w14:textId="77777777" w:rsidR="002B2465" w:rsidRPr="002B2465" w:rsidRDefault="002B2465" w:rsidP="002B2465">
      <w:pPr>
        <w:spacing w:line="480" w:lineRule="auto"/>
      </w:pPr>
    </w:p>
    <w:p w14:paraId="0D36318A" w14:textId="6A3D65B7" w:rsidR="00457473" w:rsidRPr="006A4D13" w:rsidRDefault="00947445" w:rsidP="006A4D13">
      <w:pPr>
        <w:spacing w:line="480" w:lineRule="auto"/>
      </w:pPr>
      <w:r>
        <w:t>PTSD alters the HPA</w:t>
      </w:r>
      <w:r w:rsidR="005D08D5">
        <w:t xml:space="preserve"> s</w:t>
      </w:r>
      <w:r>
        <w:t>tress axis by inducing</w:t>
      </w:r>
      <w:r w:rsidR="0041508D">
        <w:t xml:space="preserve"> </w:t>
      </w:r>
      <w:r>
        <w:t xml:space="preserve">overproduction of multiple </w:t>
      </w:r>
      <w:proofErr w:type="spellStart"/>
      <w:r w:rsidR="008C77C5">
        <w:t>nuerotransmitters</w:t>
      </w:r>
      <w:proofErr w:type="spellEnd"/>
      <w:r w:rsidR="008C77C5">
        <w:t xml:space="preserve"> and hormones involved in the stress response </w:t>
      </w:r>
      <w:r>
        <w:fldChar w:fldCharType="begin"/>
      </w:r>
      <w:r>
        <w:instrText xml:space="preserve"> ADDIN ZOTERO_ITEM CSL_CITATION {"citationID":"tXZKtdkg","properties":{"formattedCitation":"(Stoppelbein et al. 2012)","plainCitation":"(Stoppelbein et al. 2012)","noteIndex":0},"citationItems":[{"id":435,"uris":["http://zotero.org/users/local/wdQKiz3s/items/G3P8ZSDP"],"uri":["http://zotero.org/users/local/wdQKiz3s/items/G3P8ZSDP"],"itemData":{"id":435,"type":"article-journal","abstract":"Research linking post-traumatic stress disorder (PTSD) to hypercortisolism in laboratory experiments was extended to a natural clinical setting. Mothers of children diagnosed with a life-threatening illness (N = 92) completed standardized measures of PTSD and provided a salivary cortisol sample during their child’s medical check-up (Time 1) and again 24 h later, after the threat of possible negative medical reports was removed (Time 2). Women who met diagnostic criteria for PTSD exhibited significantly higher cortisol levels at Time 1 compared to women who did not meet criteria for a diagnosis. No significant differences were observed for cortisol levels at Time 2 between the women with and without PTSD. These findings extend current laboratory findings linking hypercortisolism and PTSD to a natural, stressful situation. Implications for understanding the etiology of PTSD as well as for possible prevention and intervention options are discussed.","container-title":"Journal of Anxiety Disorders","DOI":"10.1016/j.janxdis.2011.12.004","ISSN":"0887-6185","issue":"2","journalAbbreviation":"J Anxiety Disord","note":"PMID: 22209084\nPMCID: PMC3356773","page":"352-358","source":"PubMed Central","title":"The role of cortisol in PTSD among women exposed to a trauma-related stressor","volume":"26","author":[{"family":"Stoppelbein","given":"L."},{"family":"Greening","given":"L."},{"family":"Fite","given":"Paula"}],"issued":{"date-parts":[["2012",3]]}}}],"schema":"https://github.com/citation-style-language/schema/raw/master/csl-citation.json"} </w:instrText>
      </w:r>
      <w:r>
        <w:fldChar w:fldCharType="separate"/>
      </w:r>
      <w:r>
        <w:rPr>
          <w:noProof/>
        </w:rPr>
        <w:t>(Stoppelbein et al. 2012</w:t>
      </w:r>
      <w:r w:rsidR="008C77C5">
        <w:rPr>
          <w:noProof/>
        </w:rPr>
        <w:t xml:space="preserve">; </w:t>
      </w:r>
      <w:r>
        <w:fldChar w:fldCharType="end"/>
      </w:r>
      <w:r>
        <w:t xml:space="preserve">Fig. </w:t>
      </w:r>
      <w:r w:rsidR="00117082">
        <w:t>3</w:t>
      </w:r>
      <w:r>
        <w:t xml:space="preserve">). </w:t>
      </w:r>
      <w:r w:rsidR="009E2AFD">
        <w:t>For example,</w:t>
      </w:r>
      <w:r w:rsidR="00EC0006">
        <w:t xml:space="preserve"> </w:t>
      </w:r>
      <w:r>
        <w:t xml:space="preserve">prolonged release of stress </w:t>
      </w:r>
      <w:r w:rsidR="00EC0006">
        <w:t>messengers</w:t>
      </w:r>
      <w:r>
        <w:t xml:space="preserve"> like </w:t>
      </w:r>
      <w:r w:rsidR="00832070">
        <w:t>a</w:t>
      </w:r>
      <w:r>
        <w:t>drenaline</w:t>
      </w:r>
      <w:r w:rsidR="00EA7262">
        <w:t xml:space="preserve"> and cortisol and</w:t>
      </w:r>
      <w:r>
        <w:t xml:space="preserve"> causes a snowball-like effect </w:t>
      </w:r>
      <w:r w:rsidR="009E2AFD">
        <w:t xml:space="preserve">and leads to </w:t>
      </w:r>
      <w:r>
        <w:t>chronic inflammation</w:t>
      </w:r>
      <w:r w:rsidR="00EA7262">
        <w:t xml:space="preserve"> (Fig. 3)</w:t>
      </w:r>
      <w:r>
        <w:t>.</w:t>
      </w:r>
      <w:r w:rsidR="00D343ED">
        <w:t xml:space="preserve"> </w:t>
      </w:r>
      <w:r w:rsidR="00037955">
        <w:t xml:space="preserve">Cortisol, the primary stress hormone, </w:t>
      </w:r>
      <w:r w:rsidR="00DF04ED">
        <w:t xml:space="preserve">increases glucose availability and glucose uptake by the brain </w:t>
      </w:r>
      <w:r w:rsidR="00184275">
        <w:t xml:space="preserve">when the HPA axis detects a fight-or-flight situation </w:t>
      </w:r>
      <w:r w:rsidR="008906B1">
        <w:fldChar w:fldCharType="begin"/>
      </w:r>
      <w:r w:rsidR="001D68CC">
        <w:instrText xml:space="preserve"> ADDIN ZOTERO_ITEM CSL_CITATION {"citationID":"OkUqgdXa","properties":{"formattedCitation":"(Dedovic et al. 2009)","plainCitation":"(Dedovic et al. 2009)","noteIndex":0},"citationItems":[{"id":751,"uris":["http://zotero.org/users/local/wdQKiz3s/items/7ZCDMYLC"],"uri":["http://zotero.org/users/local/wdQKiz3s/items/7ZCDMYLC"],"itemData":{"id":751,"type":"article-journal","abstract":"The hypothalamic–pituitary–adrenal (HPA) axis is the major endocrine stress axis of the human organism. Cortisol, the final hormone of this axis, affects metabolic, cardiovascular and central nervous systems both acutely and chronically. Recent advances in neuroimaging techniques have led to the investigation of regulatory networks and mechanisms of cortisol regulation in the central nervous system in human populations. In the following review, results from human and animal studies are being presented that investigate the specific role of hippocampus (HC), amygdala (AG), prefrontal cortex (PFC), and brainstem nuclei in cortisol regulation in response to stress. In general, the types of stressors need to be distinguished when discussing the contributions of these structures in regulating the HPA axis. We propose a basic framework on how these structures communicate as a network to regulate cortisol secretion in response to psychological stress. Furthermore, we review critical studies that have substantially contributed to the literature. Possible future research avenues in the field of neuroimaging of cortisol regulation are discussed. In combination with investigations on genetic and environmental factors that influence the development of the HPA axis, this emerging new research will eventually allow the formulation of a more comprehensive framework of functional neuroanatomy of cortisol regulation.","collection-title":"Brain Body Medicine","container-title":"NeuroImage","DOI":"10.1016/j.neuroimage.2009.05.074","ISSN":"1053-8119","issue":"3","journalAbbreviation":"NeuroImage","language":"en","page":"864-871","source":"ScienceDirect","title":"The brain and the stress axis: The neural correlates of cortisol regulation in response to stress","title-short":"The brain and the stress axis","volume":"47","author":[{"family":"Dedovic","given":"Katarina"},{"family":"Duchesne","given":"Annie"},{"family":"Andrews","given":"Julie"},{"family":"Engert","given":"Veronika"},{"family":"Pruessner","given":"Jens C."}],"issued":{"date-parts":[["2009",9,1]]}}}],"schema":"https://github.com/citation-style-language/schema/raw/master/csl-citation.json"} </w:instrText>
      </w:r>
      <w:r w:rsidR="008906B1">
        <w:fldChar w:fldCharType="separate"/>
      </w:r>
      <w:r w:rsidR="001D68CC">
        <w:rPr>
          <w:noProof/>
        </w:rPr>
        <w:t>(Dedovic et al. 2009)</w:t>
      </w:r>
      <w:r w:rsidR="008906B1">
        <w:fldChar w:fldCharType="end"/>
      </w:r>
      <w:r w:rsidR="001D68CC">
        <w:t>.</w:t>
      </w:r>
      <w:r w:rsidR="00104CFA">
        <w:t xml:space="preserve"> Adrenaline increase</w:t>
      </w:r>
      <w:r w:rsidR="00B73923">
        <w:t xml:space="preserve">s heart rate and causes vasoconstriction (raising blood pressure) to shunt blood to the more important organs when the HPA axis </w:t>
      </w:r>
      <w:r w:rsidR="00FC77D5">
        <w:t>responds to a stressful event (H</w:t>
      </w:r>
      <w:r w:rsidR="00F5285D">
        <w:t>en</w:t>
      </w:r>
      <w:r w:rsidR="00FC77D5">
        <w:t>ry et al. 1994</w:t>
      </w:r>
      <w:r w:rsidR="00F5285D">
        <w:t>; Fig. 1</w:t>
      </w:r>
      <w:r w:rsidR="00FC77D5">
        <w:t>).</w:t>
      </w:r>
      <w:r w:rsidR="001D68CC">
        <w:t xml:space="preserve"> </w:t>
      </w:r>
      <w:r w:rsidR="002561A5">
        <w:t xml:space="preserve">In short-term </w:t>
      </w:r>
      <w:r w:rsidR="009D76ED">
        <w:t xml:space="preserve">acute scenarios, cortisol signals the immune system to </w:t>
      </w:r>
      <w:r w:rsidR="009C236C">
        <w:t>stand</w:t>
      </w:r>
      <w:r w:rsidR="002327C9">
        <w:t xml:space="preserve"> down</w:t>
      </w:r>
      <w:r w:rsidR="00F6290C">
        <w:t xml:space="preserve"> (refer to Fig. </w:t>
      </w:r>
      <w:r w:rsidR="00104CFA">
        <w:t>1)</w:t>
      </w:r>
      <w:r w:rsidR="009C236C">
        <w:t>, presumably</w:t>
      </w:r>
      <w:r w:rsidR="002327C9">
        <w:t xml:space="preserve"> to </w:t>
      </w:r>
      <w:r w:rsidR="009C236C">
        <w:t>allocate</w:t>
      </w:r>
      <w:r w:rsidR="00A5113D">
        <w:t xml:space="preserve"> </w:t>
      </w:r>
      <w:r w:rsidR="002327C9">
        <w:t xml:space="preserve">all available resources to </w:t>
      </w:r>
      <w:r w:rsidR="004214E9">
        <w:t xml:space="preserve">thinking and </w:t>
      </w:r>
      <w:r w:rsidR="00A5113D">
        <w:t>running</w:t>
      </w:r>
      <w:r w:rsidR="00B830CB">
        <w:t xml:space="preserve"> rather than to the immune function</w:t>
      </w:r>
      <w:r w:rsidR="00A5113D">
        <w:t xml:space="preserve">. </w:t>
      </w:r>
      <w:r w:rsidR="00850714">
        <w:t>However, in PTSD patients, the</w:t>
      </w:r>
      <w:r w:rsidR="00DB51C7">
        <w:t xml:space="preserve"> stress response is continuously </w:t>
      </w:r>
      <w:r w:rsidR="0041692F">
        <w:t>producing cortisol</w:t>
      </w:r>
      <w:r w:rsidR="00584FC4">
        <w:t xml:space="preserve">, which </w:t>
      </w:r>
      <w:r w:rsidR="00A47C2A">
        <w:t>desensitizes the immune system to cortisol due to constant exposure</w:t>
      </w:r>
      <w:r w:rsidR="00C53BAC">
        <w:t xml:space="preserve"> </w:t>
      </w:r>
      <w:r w:rsidR="00C53BAC">
        <w:fldChar w:fldCharType="begin"/>
      </w:r>
      <w:r w:rsidR="00C53BAC">
        <w:instrText xml:space="preserve"> ADDIN ZOTERO_ITEM CSL_CITATION {"citationID":"AvjSUTIx","properties":{"formattedCitation":"(Dedovic et al. 2009)","plainCitation":"(Dedovic et al. 2009)","noteIndex":0},"citationItems":[{"id":751,"uris":["http://zotero.org/users/local/wdQKiz3s/items/7ZCDMYLC"],"uri":["http://zotero.org/users/local/wdQKiz3s/items/7ZCDMYLC"],"itemData":{"id":751,"type":"article-journal","abstract":"The hypothalamic–pituitary–adrenal (HPA) axis is the major endocrine stress axis of the human organism. Cortisol, the final hormone of this axis, affects metabolic, cardiovascular and central nervous systems both acutely and chronically. Recent advances in neuroimaging techniques have led to the investigation of regulatory networks and mechanisms of cortisol regulation in the central nervous system in human populations. In the following review, results from human and animal studies are being presented that investigate the specific role of hippocampus (HC), amygdala (AG), prefrontal cortex (PFC), and brainstem nuclei in cortisol regulation in response to stress. In general, the types of stressors need to be distinguished when discussing the contributions of these structures in regulating the HPA axis. We propose a basic framework on how these structures communicate as a network to regulate cortisol secretion in response to psychological stress. Furthermore, we review critical studies that have substantially contributed to the literature. Possible future research avenues in the field of neuroimaging of cortisol regulation are discussed. In combination with investigations on genetic and environmental factors that influence the development of the HPA axis, this emerging new research will eventually allow the formulation of a more comprehensive framework of functional neuroanatomy of cortisol regulation.","collection-title":"Brain Body Medicine","container-title":"NeuroImage","DOI":"10.1016/j.neuroimage.2009.05.074","ISSN":"1053-8119","issue":"3","journalAbbreviation":"NeuroImage","language":"en","page":"864-871","source":"ScienceDirect","title":"The brain and the stress axis: The neural correlates of cortisol regulation in response to stress","title-short":"The brain and the stress axis","volume":"47","author":[{"family":"Dedovic","given":"Katarina"},{"family":"Duchesne","given":"Annie"},{"family":"Andrews","given":"Julie"},{"family":"Engert","given":"Veronika"},{"family":"Pruessner","given":"Jens C."}],"issued":{"date-parts":[["2009",9,1]]}}}],"schema":"https://github.com/citation-style-language/schema/raw/master/csl-citation.json"} </w:instrText>
      </w:r>
      <w:r w:rsidR="00C53BAC">
        <w:fldChar w:fldCharType="separate"/>
      </w:r>
      <w:r w:rsidR="00C53BAC">
        <w:rPr>
          <w:noProof/>
        </w:rPr>
        <w:t>(Dedovic et al. 2009)</w:t>
      </w:r>
      <w:r w:rsidR="00C53BAC">
        <w:fldChar w:fldCharType="end"/>
      </w:r>
      <w:r w:rsidR="00A47C2A">
        <w:t xml:space="preserve">. </w:t>
      </w:r>
      <w:r w:rsidR="00EB085A">
        <w:t>As a result, c</w:t>
      </w:r>
      <w:r w:rsidR="00D343ED">
        <w:t xml:space="preserve">ontinuous </w:t>
      </w:r>
      <w:r w:rsidR="00DF4C47">
        <w:t>acti</w:t>
      </w:r>
      <w:r w:rsidR="00D343ED">
        <w:t>vati</w:t>
      </w:r>
      <w:r w:rsidR="00DF4C47">
        <w:t xml:space="preserve">on of the sympathetic nervous system </w:t>
      </w:r>
      <w:r w:rsidR="00DF4C47" w:rsidRPr="004C3F19">
        <w:t xml:space="preserve">and decreased activity of the parasympathetic nervous system </w:t>
      </w:r>
      <w:r w:rsidR="00DF4C47">
        <w:t xml:space="preserve">due to </w:t>
      </w:r>
      <w:r w:rsidR="00DF4C47" w:rsidRPr="004C3F19">
        <w:t>fear</w:t>
      </w:r>
      <w:r w:rsidR="00B830CB">
        <w:t>-</w:t>
      </w:r>
      <w:r w:rsidR="00DF4C47" w:rsidRPr="004C3F19">
        <w:t>and anxiety</w:t>
      </w:r>
      <w:r w:rsidR="00B830CB">
        <w:t>-</w:t>
      </w:r>
      <w:r w:rsidR="00DF4C47">
        <w:t>b</w:t>
      </w:r>
      <w:r w:rsidR="00DF4C47" w:rsidRPr="004C3F19">
        <w:t>ased disorders inc</w:t>
      </w:r>
      <w:r w:rsidR="00D135EC">
        <w:t>reases</w:t>
      </w:r>
      <w:r w:rsidR="00DF4C47" w:rsidRPr="004C3F19">
        <w:t xml:space="preserve"> the release of pro-inflammatory cytokines</w:t>
      </w:r>
      <w:r w:rsidR="00EB085A">
        <w:t xml:space="preserve"> (</w:t>
      </w:r>
      <w:r w:rsidR="00EB085A">
        <w:t>protein hormones</w:t>
      </w:r>
      <w:r w:rsidR="00EB085A">
        <w:t>)</w:t>
      </w:r>
      <w:r w:rsidR="00DF4C47">
        <w:t xml:space="preserve"> within the bloodstream</w:t>
      </w:r>
      <w:r w:rsidR="00D135EC">
        <w:t xml:space="preserve"> through a feedforward loop</w:t>
      </w:r>
      <w:r w:rsidR="00DE3FEE">
        <w:t xml:space="preserve"> (</w:t>
      </w:r>
      <w:proofErr w:type="spellStart"/>
      <w:r w:rsidR="00215C6D">
        <w:t>Stoppelbein</w:t>
      </w:r>
      <w:proofErr w:type="spellEnd"/>
      <w:r w:rsidR="00215C6D">
        <w:t xml:space="preserve"> et al. 2012)</w:t>
      </w:r>
      <w:r w:rsidR="00DF4C47" w:rsidRPr="004C3F19">
        <w:t xml:space="preserve">. </w:t>
      </w:r>
      <w:r w:rsidR="00103BC7">
        <w:t>Eventually</w:t>
      </w:r>
      <w:r w:rsidR="009934D3">
        <w:t>, P</w:t>
      </w:r>
      <w:r w:rsidR="00DF4C47">
        <w:t xml:space="preserve">TSD </w:t>
      </w:r>
      <w:r w:rsidR="006D7B7D">
        <w:t>and the associated chronic stress</w:t>
      </w:r>
      <w:r w:rsidR="00D027DE">
        <w:t xml:space="preserve"> leads to a fatigued HPA axis (Fig. 3, 4) and basal cortisol concentrations in the blood that </w:t>
      </w:r>
      <w:r w:rsidR="009934D3">
        <w:t xml:space="preserve">are </w:t>
      </w:r>
      <w:r w:rsidR="0003797B">
        <w:t xml:space="preserve">actually </w:t>
      </w:r>
      <w:r w:rsidR="00D027DE">
        <w:t>significantly lower in individuals with PTSD (</w:t>
      </w:r>
      <w:proofErr w:type="spellStart"/>
      <w:r w:rsidR="00D027DE">
        <w:t>Atsak</w:t>
      </w:r>
      <w:proofErr w:type="spellEnd"/>
      <w:r w:rsidR="00D027DE">
        <w:t xml:space="preserve"> et al. 2012). </w:t>
      </w:r>
      <w:r w:rsidR="0094754A">
        <w:t>This phenomenon</w:t>
      </w:r>
      <w:r w:rsidR="0003797B">
        <w:t xml:space="preserve"> also</w:t>
      </w:r>
      <w:r w:rsidR="0094754A">
        <w:t xml:space="preserve"> </w:t>
      </w:r>
      <w:r w:rsidR="006D7B7D">
        <w:t>impair</w:t>
      </w:r>
      <w:r w:rsidR="0094754A">
        <w:t>s</w:t>
      </w:r>
      <w:r w:rsidR="00DF4C47">
        <w:t xml:space="preserve"> the</w:t>
      </w:r>
      <w:r w:rsidR="00DF4C47" w:rsidRPr="004C3F19">
        <w:t xml:space="preserve"> ability of glucocorticoid</w:t>
      </w:r>
      <w:r w:rsidR="00102386">
        <w:t xml:space="preserve"> stress hormones</w:t>
      </w:r>
      <w:r w:rsidR="00DF4C47" w:rsidRPr="004C3F19">
        <w:t xml:space="preserve"> to</w:t>
      </w:r>
      <w:r w:rsidR="00102386">
        <w:t xml:space="preserve"> suppress the</w:t>
      </w:r>
      <w:r w:rsidR="00DF4C47" w:rsidRPr="004C3F19">
        <w:t xml:space="preserve"> </w:t>
      </w:r>
      <w:r w:rsidR="00102386">
        <w:t xml:space="preserve">immune response, which </w:t>
      </w:r>
      <w:r w:rsidR="00DF4C47" w:rsidRPr="004C3F19">
        <w:t>contributes to a</w:t>
      </w:r>
      <w:r w:rsidR="00215C6D">
        <w:t xml:space="preserve"> continuous</w:t>
      </w:r>
      <w:r w:rsidR="00DF4C47" w:rsidRPr="004C3F19">
        <w:t xml:space="preserve"> pro-inflammatory state </w:t>
      </w:r>
      <w:r w:rsidR="005F6016">
        <w:t xml:space="preserve">(chronic low-grade inflammation) </w:t>
      </w:r>
      <w:r w:rsidR="00DF4C47" w:rsidRPr="004C3F19">
        <w:t>that</w:t>
      </w:r>
      <w:r w:rsidR="006D7E5D">
        <w:t xml:space="preserve">, in turn, </w:t>
      </w:r>
      <w:r w:rsidR="00C75CE8">
        <w:t>disrupts</w:t>
      </w:r>
      <w:r w:rsidR="00DF4C47" w:rsidRPr="004C3F19">
        <w:t xml:space="preserve"> neurocircuitry, and  behavior</w:t>
      </w:r>
      <w:r w:rsidR="00DF4C47">
        <w:t xml:space="preserve"> (Fig</w:t>
      </w:r>
      <w:r w:rsidR="00DF4C47" w:rsidRPr="004C3F19">
        <w:t>.</w:t>
      </w:r>
      <w:r w:rsidR="00DF4C47">
        <w:t xml:space="preserve"> </w:t>
      </w:r>
      <w:r w:rsidR="00117082">
        <w:t>3</w:t>
      </w:r>
      <w:r w:rsidR="00DF4C47">
        <w:t>)</w:t>
      </w:r>
      <w:r w:rsidR="00457473">
        <w:t>.</w:t>
      </w:r>
    </w:p>
    <w:p w14:paraId="1B929B74" w14:textId="71578879" w:rsidR="00DF4C47" w:rsidRDefault="00447517" w:rsidP="007A1D40">
      <w:pPr>
        <w:spacing w:line="480" w:lineRule="auto"/>
      </w:pPr>
      <w:r w:rsidRPr="00786EB3">
        <w:rPr>
          <w:noProof/>
        </w:rPr>
        <w:lastRenderedPageBreak/>
        <w:drawing>
          <wp:inline distT="0" distB="0" distL="0" distR="0" wp14:anchorId="5781AA5A" wp14:editId="6E3C55DC">
            <wp:extent cx="6331527" cy="5180965"/>
            <wp:effectExtent l="0" t="0" r="0" b="3810"/>
            <wp:docPr id="3" name="Picture 8"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iagram&#10;&#10;Description automatically generated"/>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1527" cy="5180965"/>
                    </a:xfrm>
                    <a:prstGeom prst="rect">
                      <a:avLst/>
                    </a:prstGeom>
                    <a:noFill/>
                    <a:ln>
                      <a:noFill/>
                    </a:ln>
                  </pic:spPr>
                </pic:pic>
              </a:graphicData>
            </a:graphic>
          </wp:inline>
        </w:drawing>
      </w:r>
    </w:p>
    <w:p w14:paraId="2E0FAF5C" w14:textId="62BA284D" w:rsidR="00947445" w:rsidRPr="00DF4C47" w:rsidRDefault="00947445" w:rsidP="007A1D40">
      <w:pPr>
        <w:spacing w:line="480" w:lineRule="auto"/>
      </w:pPr>
      <w:r w:rsidRPr="001E41C5">
        <w:rPr>
          <w:b/>
          <w:bCs/>
        </w:rPr>
        <w:t xml:space="preserve">Figure </w:t>
      </w:r>
      <w:r w:rsidR="00117082">
        <w:rPr>
          <w:b/>
          <w:bCs/>
        </w:rPr>
        <w:t>3</w:t>
      </w:r>
      <w:r>
        <w:t xml:space="preserve">: </w:t>
      </w:r>
      <w:r w:rsidR="002B2465">
        <w:t xml:space="preserve">Schematic depiction of the </w:t>
      </w:r>
      <w:r w:rsidR="00FA4672">
        <w:t xml:space="preserve">feedforward loop </w:t>
      </w:r>
      <w:r w:rsidR="00C75CE8">
        <w:t>leading to chronic inflammation and other symptoms</w:t>
      </w:r>
      <w:r w:rsidR="00FA4672">
        <w:t xml:space="preserve"> </w:t>
      </w:r>
      <w:r w:rsidR="002B2465">
        <w:t xml:space="preserve">associated with PTSD. </w:t>
      </w:r>
      <w:r w:rsidR="005F6016">
        <w:t>C</w:t>
      </w:r>
      <w:r w:rsidR="00675331">
        <w:t>RH = Cortisol Releasing Hormone. ACTH = Adreno</w:t>
      </w:r>
      <w:r w:rsidR="00EA6A19">
        <w:t xml:space="preserve">corticotrophic hormone. </w:t>
      </w:r>
      <w:r w:rsidR="00610D8A">
        <w:t xml:space="preserve">Figure made by author using </w:t>
      </w:r>
      <w:proofErr w:type="spellStart"/>
      <w:r w:rsidR="00610D8A">
        <w:t>Bio</w:t>
      </w:r>
      <w:r w:rsidR="005E0807">
        <w:t>Re</w:t>
      </w:r>
      <w:r w:rsidR="00610D8A">
        <w:t>nder</w:t>
      </w:r>
      <w:proofErr w:type="spellEnd"/>
      <w:r w:rsidR="005E0807">
        <w:t xml:space="preserve"> software.</w:t>
      </w:r>
    </w:p>
    <w:p w14:paraId="3613A4A8" w14:textId="77777777" w:rsidR="00DF4C47" w:rsidRDefault="00DF4C47" w:rsidP="007A1D40">
      <w:pPr>
        <w:spacing w:line="480" w:lineRule="auto"/>
      </w:pPr>
    </w:p>
    <w:p w14:paraId="301907B4" w14:textId="4F225444" w:rsidR="0083142C" w:rsidRDefault="00947445" w:rsidP="007A1D40">
      <w:pPr>
        <w:spacing w:line="480" w:lineRule="auto"/>
      </w:pPr>
      <w:r>
        <w:t>Cortisol is a pivotal hormone to monitor in PTSD patients because it can have a wide array of pathophysiological effects on the human body; c</w:t>
      </w:r>
      <w:r w:rsidRPr="00910728">
        <w:t xml:space="preserve">ortisol induces the body to support </w:t>
      </w:r>
      <w:r>
        <w:t>environmental</w:t>
      </w:r>
      <w:r w:rsidRPr="00910728">
        <w:t xml:space="preserve"> stress response</w:t>
      </w:r>
      <w:r>
        <w:t>s</w:t>
      </w:r>
      <w:r w:rsidR="00D135EC">
        <w:t xml:space="preserve"> </w:t>
      </w:r>
      <w:r w:rsidR="00D135EC">
        <w:fldChar w:fldCharType="begin"/>
      </w:r>
      <w:r w:rsidR="00D135EC">
        <w:instrText xml:space="preserve"> ADDIN ZOTERO_ITEM CSL_CITATION {"citationID":"MVQ0Hhj3","properties":{"formattedCitation":"(Stoppelbein et al. 2012)","plainCitation":"(Stoppelbein et al. 2012)","noteIndex":0},"citationItems":[{"id":435,"uris":["http://zotero.org/users/local/wdQKiz3s/items/G3P8ZSDP"],"uri":["http://zotero.org/users/local/wdQKiz3s/items/G3P8ZSDP"],"itemData":{"id":435,"type":"article-journal","abstract":"Research linking post-traumatic stress disorder (PTSD) to hypercortisolism in laboratory experiments was extended to a natural clinical setting. Mothers of children diagnosed with a life-threatening illness (N = 92) completed standardized measures of PTSD and provided a salivary cortisol sample during their child’s medical check-up (Time 1) and again 24 h later, after the threat of possible negative medical reports was removed (Time 2). Women who met diagnostic criteria for PTSD exhibited significantly higher cortisol levels at Time 1 compared to women who did not meet criteria for a diagnosis. No significant differences were observed for cortisol levels at Time 2 between the women with and without PTSD. These findings extend current laboratory findings linking hypercortisolism and PTSD to a natural, stressful situation. Implications for understanding the etiology of PTSD as well as for possible prevention and intervention options are discussed.","container-title":"Journal of Anxiety Disorders","DOI":"10.1016/j.janxdis.2011.12.004","ISSN":"0887-6185","issue":"2","journalAbbreviation":"J Anxiety Disord","note":"PMID: 22209084\nPMCID: PMC3356773","page":"352-358","source":"PubMed Central","title":"The role of cortisol in PTSD among women exposed to a trauma-related stressor","volume":"26","author":[{"family":"Stoppelbein","given":"L."},{"family":"Greening","given":"L."},{"family":"Fite","given":"Paula"}],"issued":{"date-parts":[["2012",3]]}}}],"schema":"https://github.com/citation-style-language/schema/raw/master/csl-citation.json"} </w:instrText>
      </w:r>
      <w:r w:rsidR="00D135EC">
        <w:fldChar w:fldCharType="separate"/>
      </w:r>
      <w:r w:rsidR="00D135EC">
        <w:rPr>
          <w:noProof/>
        </w:rPr>
        <w:t>(Stoppelbein et al. 2012)</w:t>
      </w:r>
      <w:r w:rsidR="00D135EC">
        <w:fldChar w:fldCharType="end"/>
      </w:r>
      <w:r w:rsidR="005A70F6">
        <w:t xml:space="preserve">, </w:t>
      </w:r>
      <w:r w:rsidR="0079254C">
        <w:t>by</w:t>
      </w:r>
      <w:r w:rsidR="00B35792">
        <w:t xml:space="preserve"> </w:t>
      </w:r>
      <w:r w:rsidR="0079254C">
        <w:t>inhibiting</w:t>
      </w:r>
      <w:r w:rsidRPr="00910728">
        <w:t xml:space="preserve"> insulin</w:t>
      </w:r>
      <w:r w:rsidR="004245A3">
        <w:t xml:space="preserve"> production</w:t>
      </w:r>
      <w:r w:rsidRPr="00910728">
        <w:t xml:space="preserve"> and enhancing glucose availability, regulating immune system functions</w:t>
      </w:r>
      <w:r w:rsidR="004F4B7B">
        <w:t xml:space="preserve"> (suppression during acute </w:t>
      </w:r>
      <w:r w:rsidR="004F4B7B">
        <w:lastRenderedPageBreak/>
        <w:t>exposures)</w:t>
      </w:r>
      <w:r w:rsidRPr="00910728">
        <w:t xml:space="preserve">, and </w:t>
      </w:r>
      <w:r w:rsidR="004F4B7B">
        <w:t>increasing</w:t>
      </w:r>
      <w:r w:rsidRPr="00910728">
        <w:t xml:space="preserve"> </w:t>
      </w:r>
      <w:r>
        <w:t xml:space="preserve">electrolyte </w:t>
      </w:r>
      <w:r w:rsidRPr="00910728">
        <w:t>balance</w:t>
      </w:r>
      <w:r>
        <w:t xml:space="preserve"> </w:t>
      </w:r>
      <w:r>
        <w:fldChar w:fldCharType="begin"/>
      </w:r>
      <w:r>
        <w:instrText xml:space="preserve"> ADDIN ZOTERO_ITEM CSL_CITATION {"citationID":"LaWyqHbR","properties":{"formattedCitation":"(Klengel et al. 2013; Myers et al. 2014; Binder et al.)","plainCitation":"(Klengel et al. 2013; Myers et al. 2014; Binder et al.)","dontUpdate":true,"noteIndex":0},"citationItems":[{"id":441,"uris":["http://zotero.org/users/local/wdQKiz3s/items/W5VFPHIH"],"uri":["http://zotero.org/users/local/wdQKiz3s/items/W5VFPHIH"],"itemData":{"id":441,"type":"article-journal","abstract":"Gene-environment interactions of FKBP5 and early trauma predict adult stress-related psychiatric disorders. In this study, the authors reveal the molecular mechanism of how transcriptionally active variants interact with early trauma leading to long-term allele-specific changes in DNA methylation in glucocorticoid response elements of FKBP5.","container-title":"Nature Neuroscience","DOI":"10.1038/nn.3275","ISSN":"1546-1726","issue":"1","language":"en","note":"number: 1\npublisher: Nature Publishing Group","page":"33-41","source":"www.nature.com","title":"Allele-specific FKBP5 DNA demethylation mediates gene–childhood trauma interactions","volume":"16","author":[{"family":"Klengel","given":"Torsten"},{"family":"Mehta","given":"Divya"},{"family":"Anacker","given":"Christoph"},{"family":"Rex-Haffner","given":"Monika"},{"family":"Pruessner","given":"Jens C."},{"family":"Pariante","given":"Carmine M."},{"family":"Pace","given":"Thaddeus W. W."},{"family":"Mercer","given":"Kristina B."},{"family":"Mayberg","given":"Helen S."},{"family":"Bradley","given":"Bekh"},{"family":"Nemeroff","given":"Charles B."},{"family":"Holsboer","given":"Florian"},{"family":"Heim","given":"Christine M."},{"family":"Ressler","given":"Kerry J."},{"family":"Rein","given":"Theo"},{"family":"Binder","given":"Elisabeth B."}],"issued":{"date-parts":[["2013",1]]}}},{"id":434,"uris":["http://zotero.org/users/local/wdQKiz3s/items/KRA6HG4P"],"uri":["http://zotero.org/users/local/wdQKiz3s/items/KRA6HG4P"],"itemData":{"id":434,"type":"article-journal","abstract":"Environmental stimuli that signal real or potential threats to homeostasis lead to glucocorticoid secretion by the hypothalamic–pituitary–adrenocortical (HPA) axis. Glucocorticoids promote energy redistribution and are critical for survival and adaptation. This adaptation requires the integration of multiple systems and engages key limbic-neuroendocrine circuits. Consequently, glucocorticoids have profound effects on synaptic physiology, circuit regulation of stress responsiveness, and, ultimately, behavior. While glucocorticoids initiate adaptive processes that generate energy for coping, prolonged or inappropriate glucocorticoid secretion becomes deleterious. Inappropriate processing of stressful information may lead to energetic drive that does not match environmental demand, resulting in risk factors for pathology. Thus, dysregulation of the HPA axis may promote stress-related illnesses (e.g. depression, PTSD). This review summarizes the latest developments in central glucocorticoid actions on synaptic, neuroendocrine, and behavioral regulation. Additionally, these ﬁndings will be discussed in terms of the energetic integration of stress and the importance of context-speciﬁc regulation of glucocorticoids.","container-title":"Frontiers in Neuroendocrinology","DOI":"10.1016/j.yfrne.2013.12.003","ISSN":"00913022","issue":"2","journalAbbreviation":"Frontiers in Neuroendocrinology","language":"en","page":"180-196","source":"DOI.org (Crossref)","title":"Glucocorticoid actions on synapses, circuits, and behavior: Implications for the energetics of stress","title-short":"Glucocorticoid actions on synapses, circuits, and behavior","volume":"35","author":[{"family":"Myers","given":"Brent"},{"family":"McKlveen","given":"Jessica M."},{"family":"Herman","given":"James P."}],"issued":{"date-parts":[["2014",4]]}}},{"id":445,"uris":["http://zotero.org/users/local/wdQKiz3s/items/IVKVC9MT"],"uri":["http://zotero.org/users/local/wdQKiz3s/items/IVKVC9MT"],"itemData":{"id":445,"type":"article-journal","abstract":"Objective To increase understanding of genetic and environmental risk factors as well as their interaction in the development of PTSD by gene ϫ environment interactions of child abuse, level of non–child abuse trauma exposure, and genetic polymorphisms at the stress-related gene FKBP5. Design, Setting, and Participants A cross-sectional study examining genetic and psychological risk factors in 900 nonpsychiatric clinic patients (762 included for all genotype studies) with significant levels of childhood abuse as well as non–child abuse trauma using a verbally presented survey combined with single-nucleotide polymorphism (SNP) genotyping. Participants were primarily urban, low-income, black (Ͼ95%) men and women seeking care in the general medical care and obstetrics-gynecology clinics of an urban public hospital in Atlanta, Georgia, between 2005 and 2007. Main Outcome Measures Severity of adult PTSD symptomatology, measured with the modified PTSD Symptom Scale, non–child abuse (primarily adult) trauma exposure and child abuse measured using the traumatic events inventory and 8 SNPs spanning the FKBP5 locus.\nResults Level of child abuse and non–child abuse trauma each separately predicted level of adult PTSD symptomatology (mean [SD], PTSD Symptom Scale for no child abuse, 8.03 [10.48] vs Ն2 types of abuse, 20.93 [14.32]; and for no non–child abuse trauma, 3.58 [6.27] vs Ն4 types, 16.74 [12.90]; PϽ.001). Although FKBP5 SNPs did not directly predict PTSD symptom outcome or interact with level of non–child abuse trauma to predict PTSD symptom severity, 4 SNPs in the FKBP5 locus significantly interacted (rs9296158, rs3800373, rs1360780, and rs9470080; minimum P=.0004) with the severity of child abuse to predict level of adult PTSD symptoms after correcting for multiple testing. This gene ϫ environment interaction remained significant when controlling for depression severity scores, age, sex, levels of non–child abuse trauma exposure, and genetic ancestry. This genetic interaction was also paralleled by FKBP5 genotype-dependent and PTSD-dependent effects on glucocorticoid receptor sensitivity, measured by the dexamethasone suppression test.\nConclusions Four SNPs of the FKBP5 gene interacted with severity of child abuse as a predictor of adult PTSD symptoms. There were no main effects of the SNPs on PTSD symptoms and no significant genetic interactions with level of non–child abuse trauma as predictor of adult PTSD symptoms, suggesting a potential gene-childhood environment interaction for adult PTSD.","language":"en","page":"15","source":"Zotero","title":"Association of FKBP5 Polymorphisms and Childhood Abuse With Risk of Posttraumatic Stress Disorder Symptoms in Adults","author":[{"family":"Binder","given":"Elisabeth B"},{"family":"Bradley","given":"Rebekah G"},{"family":"Liu","given":"Wei"},{"family":"Epstein","given":"Michael P"},{"family":"Deveau","given":"Todd C"},{"family":"Mercer","given":"Kristina B"},{"family":"Tang","given":"Yilang"},{"family":"Gillespie","given":"Charles F"},{"family":"Heim","given":"Christine M"},{"family":"Nemeroff","given":"Charles B"},{"family":"Schwartz","given":"Ann C"},{"family":"Cubells","given":"Joseph F"},{"family":"Ressler","given":"Kerry J"}]}}],"schema":"https://github.com/citation-style-language/schema/raw/master/csl-citation.json"} </w:instrText>
      </w:r>
      <w:r>
        <w:fldChar w:fldCharType="separate"/>
      </w:r>
      <w:r>
        <w:rPr>
          <w:noProof/>
        </w:rPr>
        <w:t>(Klengel et al. 2013; Myers et al. 2014; Binder et al. 2008</w:t>
      </w:r>
      <w:r w:rsidR="00943CB3">
        <w:rPr>
          <w:noProof/>
        </w:rPr>
        <w:t>;</w:t>
      </w:r>
      <w:r w:rsidR="00E71BC8">
        <w:rPr>
          <w:noProof/>
        </w:rPr>
        <w:t xml:space="preserve"> Fig. 1</w:t>
      </w:r>
      <w:r>
        <w:rPr>
          <w:noProof/>
        </w:rPr>
        <w:t>)</w:t>
      </w:r>
      <w:r>
        <w:fldChar w:fldCharType="end"/>
      </w:r>
      <w:r>
        <w:t>.</w:t>
      </w:r>
      <w:r w:rsidR="004245A3">
        <w:t xml:space="preserve"> </w:t>
      </w:r>
      <w:r w:rsidR="00CB513E">
        <w:t>As stated above, s</w:t>
      </w:r>
      <w:r w:rsidR="004245A3">
        <w:t xml:space="preserve">teroid-stress-hormone production, like the production of cortisol, suppresses the immune system to </w:t>
      </w:r>
      <w:r w:rsidR="00CB513E">
        <w:t>allocate</w:t>
      </w:r>
      <w:r w:rsidR="002725ED">
        <w:t xml:space="preserve"> all energy/resources to the essential organs activated during a fight-or-flight response.</w:t>
      </w:r>
      <w:r w:rsidR="008C7B64">
        <w:t xml:space="preserve"> Cortisol also acts</w:t>
      </w:r>
      <w:r w:rsidR="00CA2D0B">
        <w:t xml:space="preserve"> as</w:t>
      </w:r>
      <w:r w:rsidR="008C7B64">
        <w:t xml:space="preserve"> </w:t>
      </w:r>
      <w:r w:rsidR="00DE3BC6">
        <w:t xml:space="preserve">the </w:t>
      </w:r>
      <w:r w:rsidR="008E448A">
        <w:t>reset button for the HPA axis but due to the significantly lowered levels of cortisol in PTSD patients</w:t>
      </w:r>
      <w:r w:rsidR="00E92372">
        <w:t>,</w:t>
      </w:r>
      <w:r w:rsidR="008E448A">
        <w:t xml:space="preserve"> the </w:t>
      </w:r>
      <w:r w:rsidR="00E92372">
        <w:t>associated</w:t>
      </w:r>
      <w:r w:rsidR="008E448A">
        <w:t xml:space="preserve"> feedback loop</w:t>
      </w:r>
      <w:r w:rsidR="00E71BC8">
        <w:t>s</w:t>
      </w:r>
      <w:r w:rsidR="008E448A">
        <w:t xml:space="preserve"> </w:t>
      </w:r>
      <w:r w:rsidR="00E92372">
        <w:t xml:space="preserve">are disabled, </w:t>
      </w:r>
      <w:r w:rsidR="00434A0C">
        <w:t xml:space="preserve">which results in immune system dysfunction </w:t>
      </w:r>
      <w:r w:rsidR="00AF2A48">
        <w:t xml:space="preserve">(a continuous low-grade inflammation) and HPA axis dysfunction </w:t>
      </w:r>
      <w:r w:rsidR="00DF6356">
        <w:t>(</w:t>
      </w:r>
      <w:r w:rsidR="00273D3B">
        <w:t>Myers et al. 2014)</w:t>
      </w:r>
      <w:r w:rsidR="00E16340">
        <w:t xml:space="preserve"> as seen in PTSD patients </w:t>
      </w:r>
      <w:r w:rsidR="00273D3B">
        <w:t>(</w:t>
      </w:r>
      <w:proofErr w:type="spellStart"/>
      <w:r w:rsidR="00273D3B">
        <w:t>Atsak</w:t>
      </w:r>
      <w:proofErr w:type="spellEnd"/>
      <w:r w:rsidR="00273D3B">
        <w:t xml:space="preserve"> et al. 2012</w:t>
      </w:r>
      <w:r w:rsidR="00E16340">
        <w:t xml:space="preserve">; </w:t>
      </w:r>
      <w:r w:rsidR="00CA7B2A">
        <w:t>Fig. 4)</w:t>
      </w:r>
      <w:r w:rsidR="00DF6356">
        <w:t>.</w:t>
      </w:r>
      <w:r w:rsidR="0072385C">
        <w:t xml:space="preserve"> </w:t>
      </w:r>
      <w:r w:rsidR="00202DF5" w:rsidRPr="00202DF5">
        <w:t>Over prolong</w:t>
      </w:r>
      <w:r w:rsidR="00A008F9">
        <w:t>ed</w:t>
      </w:r>
      <w:r w:rsidR="00202DF5" w:rsidRPr="00202DF5">
        <w:t xml:space="preserve"> stress exposure, the </w:t>
      </w:r>
      <w:r w:rsidR="00A008F9" w:rsidRPr="00202DF5">
        <w:t>adrenergic</w:t>
      </w:r>
      <w:r w:rsidR="00202DF5" w:rsidRPr="00202DF5">
        <w:t xml:space="preserve"> system becomes insensitive to cortisol</w:t>
      </w:r>
      <w:r w:rsidR="00202DF5">
        <w:t xml:space="preserve"> (</w:t>
      </w:r>
      <w:proofErr w:type="spellStart"/>
      <w:r w:rsidR="00A008F9">
        <w:t>Gaffey</w:t>
      </w:r>
      <w:proofErr w:type="spellEnd"/>
      <w:r w:rsidR="00A008F9">
        <w:t xml:space="preserve"> et al. 2018).</w:t>
      </w:r>
    </w:p>
    <w:p w14:paraId="5216958B" w14:textId="4181E374" w:rsidR="00CA7B2A" w:rsidRDefault="007E2A3E" w:rsidP="007A1D40">
      <w:pPr>
        <w:spacing w:line="480" w:lineRule="auto"/>
      </w:pPr>
      <w:r>
        <w:rPr>
          <w:noProof/>
        </w:rPr>
        <mc:AlternateContent>
          <mc:Choice Requires="wps">
            <w:drawing>
              <wp:anchor distT="0" distB="0" distL="114300" distR="114300" simplePos="0" relativeHeight="251660288" behindDoc="0" locked="0" layoutInCell="1" allowOverlap="1" wp14:anchorId="2EFFAC2A" wp14:editId="501E6EF4">
                <wp:simplePos x="0" y="0"/>
                <wp:positionH relativeFrom="column">
                  <wp:posOffset>4072948</wp:posOffset>
                </wp:positionH>
                <wp:positionV relativeFrom="paragraph">
                  <wp:posOffset>285173</wp:posOffset>
                </wp:positionV>
                <wp:extent cx="1787236" cy="622993"/>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787236" cy="622993"/>
                        </a:xfrm>
                        <a:prstGeom prst="rect">
                          <a:avLst/>
                        </a:prstGeom>
                        <a:noFill/>
                        <a:ln w="6350">
                          <a:noFill/>
                        </a:ln>
                      </wps:spPr>
                      <wps:txbx>
                        <w:txbxContent>
                          <w:p w14:paraId="21C0500E" w14:textId="5506D259" w:rsidR="007E2A3E" w:rsidRDefault="006B0FEC">
                            <w:r>
                              <w:t>Traumatic/chronic stress 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FFAC2A" id="_x0000_t202" coordsize="21600,21600" o:spt="202" path="m,l,21600r21600,l21600,xe">
                <v:stroke joinstyle="miter"/>
                <v:path gradientshapeok="t" o:connecttype="rect"/>
              </v:shapetype>
              <v:shape id="Text Box 12" o:spid="_x0000_s1026" type="#_x0000_t202" style="position:absolute;margin-left:320.7pt;margin-top:22.45pt;width:140.75pt;height:49.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" filled="f" stroked="f" strokeweight=".5pt">
                <v:textbox>
                  <w:txbxContent>
                    <w:p w14:paraId="21C0500E" w14:textId="5506D259" w:rsidR="007E2A3E" w:rsidRDefault="006B0FEC">
                      <w:r>
                        <w:t>Traumatic/chronic stress response</w:t>
                      </w:r>
                    </w:p>
                  </w:txbxContent>
                </v:textbox>
              </v:shape>
            </w:pict>
          </mc:Fallback>
        </mc:AlternateContent>
      </w:r>
      <w:r w:rsidR="00E50ED2">
        <w:rPr>
          <w:noProof/>
        </w:rPr>
        <mc:AlternateContent>
          <mc:Choice Requires="wps">
            <w:drawing>
              <wp:anchor distT="0" distB="0" distL="114300" distR="114300" simplePos="0" relativeHeight="251659264" behindDoc="0" locked="0" layoutInCell="1" allowOverlap="1" wp14:anchorId="7EC0023A" wp14:editId="394363AB">
                <wp:simplePos x="0" y="0"/>
                <wp:positionH relativeFrom="column">
                  <wp:posOffset>193964</wp:posOffset>
                </wp:positionH>
                <wp:positionV relativeFrom="paragraph">
                  <wp:posOffset>284942</wp:posOffset>
                </wp:positionV>
                <wp:extent cx="1995054" cy="554182"/>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995054" cy="554182"/>
                        </a:xfrm>
                        <a:prstGeom prst="rect">
                          <a:avLst/>
                        </a:prstGeom>
                        <a:noFill/>
                        <a:ln w="6350">
                          <a:noFill/>
                        </a:ln>
                      </wps:spPr>
                      <wps:txbx>
                        <w:txbxContent>
                          <w:p w14:paraId="096AE42A" w14:textId="04415EA7" w:rsidR="0051795A" w:rsidRDefault="00E50ED2">
                            <w:r>
                              <w:t>Acute intermittent stress 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C0023A" id="Text Box 11" o:spid="_x0000_s1027" type="#_x0000_t202" style="position:absolute;margin-left:15.25pt;margin-top:22.45pt;width:157.1pt;height:43.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" filled="f" stroked="f" strokeweight=".5pt">
                <v:textbox>
                  <w:txbxContent>
                    <w:p w14:paraId="096AE42A" w14:textId="04415EA7" w:rsidR="0051795A" w:rsidRDefault="00E50ED2">
                      <w:r>
                        <w:t>Acute intermittent stress response</w:t>
                      </w:r>
                    </w:p>
                  </w:txbxContent>
                </v:textbox>
              </v:shape>
            </w:pict>
          </mc:Fallback>
        </mc:AlternateContent>
      </w:r>
      <w:r w:rsidR="00CA7B2A">
        <w:rPr>
          <w:noProof/>
        </w:rPr>
        <w:drawing>
          <wp:inline distT="0" distB="0" distL="0" distR="0" wp14:anchorId="46E6D0B7" wp14:editId="1DCEDA10">
            <wp:extent cx="5943600" cy="4580890"/>
            <wp:effectExtent l="0" t="0" r="0" b="381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4580890"/>
                    </a:xfrm>
                    <a:prstGeom prst="rect">
                      <a:avLst/>
                    </a:prstGeom>
                  </pic:spPr>
                </pic:pic>
              </a:graphicData>
            </a:graphic>
          </wp:inline>
        </w:drawing>
      </w:r>
    </w:p>
    <w:p w14:paraId="40CF3197" w14:textId="27B1AFBD" w:rsidR="00947445" w:rsidRDefault="00CA7B2A" w:rsidP="007A1D40">
      <w:pPr>
        <w:spacing w:line="480" w:lineRule="auto"/>
      </w:pPr>
      <w:r>
        <w:lastRenderedPageBreak/>
        <w:t>Figure 4:</w:t>
      </w:r>
      <w:r w:rsidR="008E3C6E">
        <w:t xml:space="preserve"> </w:t>
      </w:r>
      <w:r w:rsidR="006A1C5C">
        <w:t>F</w:t>
      </w:r>
      <w:r w:rsidR="006A1C5C" w:rsidRPr="006A1C5C">
        <w:t xml:space="preserve">unctional state </w:t>
      </w:r>
      <w:r w:rsidR="00E44E1E">
        <w:t xml:space="preserve">of the HPA axis </w:t>
      </w:r>
      <w:r w:rsidR="006A1C5C" w:rsidRPr="006A1C5C">
        <w:t xml:space="preserve">associated with immunosuppression and the dysfunction/fatigued HPA axis state in PTSD </w:t>
      </w:r>
      <w:proofErr w:type="spellStart"/>
      <w:r w:rsidR="007313A5">
        <w:t>a</w:t>
      </w:r>
      <w:r w:rsidR="00E44E1E">
        <w:t>ssocaited</w:t>
      </w:r>
      <w:proofErr w:type="spellEnd"/>
      <w:r w:rsidR="007313A5">
        <w:t xml:space="preserve"> </w:t>
      </w:r>
      <w:r w:rsidR="006A1C5C" w:rsidRPr="006A1C5C">
        <w:t xml:space="preserve">with chronic low-grade immuno-activation </w:t>
      </w:r>
      <w:r w:rsidR="007313A5">
        <w:t>(</w:t>
      </w:r>
      <w:r w:rsidR="006A1C5C" w:rsidRPr="006A1C5C">
        <w:t>chronic inflammation</w:t>
      </w:r>
      <w:r w:rsidR="007313A5">
        <w:t>)</w:t>
      </w:r>
      <w:r w:rsidR="006A1C5C" w:rsidRPr="006A1C5C">
        <w:t>.</w:t>
      </w:r>
    </w:p>
    <w:p w14:paraId="11674734" w14:textId="77777777" w:rsidR="006A1C5C" w:rsidRDefault="006A1C5C" w:rsidP="007A1D40">
      <w:pPr>
        <w:spacing w:line="480" w:lineRule="auto"/>
      </w:pPr>
    </w:p>
    <w:p w14:paraId="62B51D5A" w14:textId="77F0BE6C" w:rsidR="002725ED" w:rsidRDefault="002725ED" w:rsidP="007A1D40">
      <w:pPr>
        <w:spacing w:line="480" w:lineRule="auto"/>
        <w:rPr>
          <w:i/>
          <w:iCs/>
        </w:rPr>
      </w:pPr>
      <w:r>
        <w:rPr>
          <w:i/>
          <w:iCs/>
        </w:rPr>
        <w:t>Gut microbiome, endocannabinoids, and chronic inflammation</w:t>
      </w:r>
    </w:p>
    <w:p w14:paraId="7E3A1674" w14:textId="77777777" w:rsidR="002725ED" w:rsidRPr="002725ED" w:rsidRDefault="002725ED" w:rsidP="007A1D40">
      <w:pPr>
        <w:spacing w:line="480" w:lineRule="auto"/>
        <w:rPr>
          <w:i/>
          <w:iCs/>
        </w:rPr>
      </w:pPr>
    </w:p>
    <w:p w14:paraId="076F6D73" w14:textId="15BCEB5D" w:rsidR="00096379" w:rsidRDefault="00947445" w:rsidP="007A1D40">
      <w:pPr>
        <w:spacing w:line="480" w:lineRule="auto"/>
      </w:pPr>
      <w:r>
        <w:t>Functional development of the mammalian brain requires a healthy gut microbiome in conjunction with a nutritio</w:t>
      </w:r>
      <w:r w:rsidR="00EC56AD">
        <w:t>us</w:t>
      </w:r>
      <w:r>
        <w:t xml:space="preserve"> diet. </w:t>
      </w:r>
      <w:r w:rsidR="00497A25">
        <w:t>This</w:t>
      </w:r>
      <w:r>
        <w:t xml:space="preserve"> gut-microbiota-brain axis</w:t>
      </w:r>
      <w:r w:rsidR="00497A25">
        <w:t xml:space="preserve"> profoundly</w:t>
      </w:r>
      <w:r>
        <w:t xml:space="preserve"> influences neuron health and neurotransmitter production </w:t>
      </w:r>
      <w:r w:rsidR="00497A25">
        <w:t>as well as</w:t>
      </w:r>
      <w:r>
        <w:t xml:space="preserve"> mood</w:t>
      </w:r>
      <w:r w:rsidR="00497A25">
        <w:t xml:space="preserve"> and</w:t>
      </w:r>
      <w:r>
        <w:t xml:space="preserve"> behavior</w:t>
      </w:r>
      <w:r w:rsidR="00497A25">
        <w:t xml:space="preserve"> </w:t>
      </w:r>
      <w:r w:rsidR="00497A25">
        <w:fldChar w:fldCharType="begin"/>
      </w:r>
      <w:r w:rsidR="00497A25">
        <w:instrText xml:space="preserve"> ADDIN ZOTERO_ITEM CSL_CITATION {"citationID":"xmYyHRdm","properties":{"formattedCitation":"(Hemmings et al. 2017)","plainCitation":"(Hemmings et al. 2017)","noteIndex":0},"citationItems":[{"id":707,"uris":["http://zotero.org/users/local/wdQKiz3s/items/LXP5MZNL"],"uri":["http://zotero.org/users/local/wdQKiz3s/items/LXP5MZNL"],"itemData":{"id":707,"type":"article-journal","abstract":"Objective\nInadequate immunoregulation and elevated inflammation may be risk factors for posttraumatic stress disorder (PTSD), and microbial inputs are important determinants of immunoregulation; however, the association between the gut microbiota and PTSD is unknown. This study investigated the gut microbiome in a South African sample of PTSD-affected individuals and trauma-exposed (TE) controls, to identify potential differences in microbial diversity or microbial community structure.\n\nMethods\nThe Clinician Administered Posttraumatic Stress Disorder Scale for DSM-5 (CAPS-5) was used to diagnose PTSD according to DSM-5 criteria. Microbial DNA was extracted from stool samples obtained from 18 individuals with PTSD and 12 TE control participants. Bacterial 16S ribosomal RNA (rRNA) gene V3/V4 amplicons were generated and sequenced. Microbial community structure, alpha-diversity, and beta-diversity were analyzed; random forest analysis was used to identify associations between bacterial taxa and PTSD.\n\nResults\nThere were no differences between PTSD and TE control groups in alpha- or beta-diversity measures (e.g., alpha-diversity, Shannon index, t = 0.386, P = .70; beta diversity, based on analysis of similarities (ANOSIM), Bray Curtis test statistic = −0.033, P = .70); however, random forests analysis highlighted three phyla as important to distinguish PTSD status: Actinobacteria, Lentisphaerae, and Verrucomicrobia. Decreased total abundance of these taxa was associated with higher PTSD CAPS scores (r = −.387, P = .035).\n\nConclusions\nIn this exploratory study, measures of overall microbial diversity were similar among individuals with PTSD and TE controls; however, decreased total abundance of Actinobacteria, Lentisphaerae, and Verrucomicrobia was associated with PTSD status.","container-title":"Psychosomatic medicine","DOI":"10.1097/PSY.0000000000000512","ISSN":"0033-3174","issue":"8","journalAbbreviation":"Psychosom Med","note":"PMID: 28700459\nPMCID: PMC5763914","page":"936-946","source":"PubMed Central","title":"The Microbiome in Posttraumatic Stress Disorder and Trauma-Exposed Controls: An Exploratory Study","title-short":"The Microbiome in Posttraumatic Stress Disorder and Trauma-Exposed Controls","volume":"79","author":[{"family":"Hemmings","given":"Sian M.J."},{"family":"Malan-Muller","given":"Stefanie"},{"family":"Heuvel","given":"Leigh L.","non-dropping-particle":"van den"},{"family":"Demmitt","given":"Brittany A."},{"family":"Stanislawski","given":"Maggie A."},{"family":"Smith","given":"David G."},{"family":"Bohr","given":"Adam D."},{"family":"Stamper","given":"Christopher E."},{"family":"Hyde","given":"Embriette R."},{"family":"Morton","given":"James T."},{"family":"Marotz","given":"Clarisse A."},{"family":"Siebler","given":"Philip H."},{"family":"Braspenning","given":"Maarten"},{"family":"Van Criekinge","given":"Wim"},{"family":"Hoisington","given":"Andrew J."},{"family":"Brenner","given":"Lisa A."},{"family":"Postolache","given":"Teodor T."},{"family":"McQueen","given":"Matthew B."},{"family":"Krauter","given":"Kenneth S."},{"family":"Knight","given":"Rob"},{"family":"Seedat","given":"Soraya"},{"family":"Lowry","given":"Christopher A."}],"issued":{"date-parts":[["2017",10]]}}}],"schema":"https://github.com/citation-style-language/schema/raw/master/csl-citation.json"} </w:instrText>
      </w:r>
      <w:r w:rsidR="00497A25">
        <w:fldChar w:fldCharType="separate"/>
      </w:r>
      <w:r w:rsidR="00497A25">
        <w:rPr>
          <w:noProof/>
        </w:rPr>
        <w:t>(Hemmings et al. 2017)</w:t>
      </w:r>
      <w:r w:rsidR="00497A25">
        <w:fldChar w:fldCharType="end"/>
      </w:r>
      <w:r>
        <w:t xml:space="preserve">. The snowballing effect of chronic inflammation in the body can create </w:t>
      </w:r>
      <w:r w:rsidR="00497A25">
        <w:t xml:space="preserve">gut </w:t>
      </w:r>
      <w:r>
        <w:t xml:space="preserve">dysbiosis </w:t>
      </w:r>
      <w:r w:rsidR="00497A25">
        <w:t>(</w:t>
      </w:r>
      <w:r w:rsidR="00B636B9">
        <w:t xml:space="preserve">an altered </w:t>
      </w:r>
      <w:r w:rsidR="00497A25">
        <w:t xml:space="preserve"> gut microbial community), which</w:t>
      </w:r>
      <w:r>
        <w:t xml:space="preserve"> </w:t>
      </w:r>
      <w:r w:rsidR="007D0A9D">
        <w:t xml:space="preserve">results in a failure to produce gut-bacteria-derived gene regulators, such as </w:t>
      </w:r>
      <w:r w:rsidR="00497A25">
        <w:t xml:space="preserve">short-chain fatty acids like butyrate </w:t>
      </w:r>
      <w:r w:rsidR="00497A25">
        <w:fldChar w:fldCharType="begin"/>
      </w:r>
      <w:r w:rsidR="00497A25">
        <w:instrText xml:space="preserve"> ADDIN ZOTERO_ITEM CSL_CITATION {"citationID":"S65XqF3Y","properties":{"formattedCitation":"(Halverson and Alagiakrishnan 2020)","plainCitation":"(Halverson and Alagiakrishnan 2020)","noteIndex":0},"citationItems":[{"id":674,"uris":["http://zotero.org/users/local/wdQKiz3s/items/R4DHR443"],"uri":["http://zotero.org/users/local/wdQKiz3s/items/R4DHR443"],"itemData":{"id":674,"type":"article-journal","abstract":"Introduction: As individuals age, the prevalence of neurocognitive and mental health disorders increases. Current biomedical treatments do not completely address the management of these conditions. Despite new pharmacological therapy the challenges of managing these diseases remain.There is increasing evidence that the Gut Microbiome (GM) and microbial dysbiosis contribute to some of the more prevalent mental health and neurocognitive disorders, such as depression, anxiety, obsessive-compulsive disorder (OCD), post-traumatic stress disorder (PTSD), schizophrenia, bipolar disorder (BP), and dementia as well as the behavioural and psychological symptoms of dementia (BPSD) through the microbiota-gut-brain axis.\nMethodology: Scoping review about the effect of gut microbiota on neurocognitive and mental health disorders.\nResults: This scoping review found there is an evolving evidence of the involvement of the gut microbiota in the pathophysiology of neurocognitive and mental health disorders. This manuscript also discusses how the psychotropics used to treat these conditions may have an antimicrobial effect on GM, and the potential for new strategies of management with probiotics and faecal transplantation.\nConclusions: This understanding can open up the need for a gut related approach in these disorders as well as unlock the door for the role of gut related microbiota management.","container-title":"Annals of Medicine","DOI":"10.1080/07853890.2020.1808239","ISSN":"0785-3890, 1365-2060","issue":"8","journalAbbreviation":"Annals of Medicine","language":"en","page":"423-443","source":"DOI.org (Crossref)","title":"Gut microbes in neurocognitive and mental health disorders","volume":"52","author":[{"family":"Halverson","given":"Tyler"},{"family":"Alagiakrishnan","given":"Kannayiram"}],"issued":{"date-parts":[["2020",11,16]]}}}],"schema":"https://github.com/citation-style-language/schema/raw/master/csl-citation.json"} </w:instrText>
      </w:r>
      <w:r w:rsidR="00497A25">
        <w:fldChar w:fldCharType="separate"/>
      </w:r>
      <w:r w:rsidR="00497A25">
        <w:rPr>
          <w:noProof/>
        </w:rPr>
        <w:t>(Halverson and Alagiakrishnan 2020)</w:t>
      </w:r>
      <w:r w:rsidR="00497A25">
        <w:fldChar w:fldCharType="end"/>
      </w:r>
      <w:r w:rsidR="006C63DB">
        <w:t xml:space="preserve"> needed </w:t>
      </w:r>
      <w:r w:rsidR="00F63EBA">
        <w:t xml:space="preserve">not only to regulate brain function but also </w:t>
      </w:r>
      <w:r w:rsidR="006C63DB">
        <w:t>for the production of</w:t>
      </w:r>
      <w:r w:rsidR="00497A25">
        <w:t xml:space="preserve"> </w:t>
      </w:r>
      <w:r w:rsidR="007D0A9D">
        <w:t xml:space="preserve">proteins </w:t>
      </w:r>
      <w:r w:rsidR="00FA137A">
        <w:t xml:space="preserve">that </w:t>
      </w:r>
      <w:r w:rsidR="00307768">
        <w:t>support</w:t>
      </w:r>
      <w:r w:rsidR="00FA137A">
        <w:t xml:space="preserve"> gut barrier </w:t>
      </w:r>
      <w:r w:rsidR="00307768">
        <w:t>integrity</w:t>
      </w:r>
      <w:r w:rsidR="00FA137A">
        <w:t xml:space="preserve">. </w:t>
      </w:r>
      <w:r w:rsidR="00307768">
        <w:t xml:space="preserve">Failure to produce these </w:t>
      </w:r>
      <w:r w:rsidR="00FA137A">
        <w:t>gut-bacteria-derived gene regulators</w:t>
      </w:r>
      <w:r w:rsidR="00AA1642">
        <w:t xml:space="preserve">, </w:t>
      </w:r>
      <w:r w:rsidR="000535AA">
        <w:t xml:space="preserve">and resulting </w:t>
      </w:r>
      <w:r w:rsidR="00AA1642">
        <w:t>gut-barrier impairment, a</w:t>
      </w:r>
      <w:r w:rsidR="000535AA">
        <w:t>l</w:t>
      </w:r>
      <w:r w:rsidR="003C6528">
        <w:t>low</w:t>
      </w:r>
      <w:r w:rsidR="000535AA">
        <w:t xml:space="preserve"> </w:t>
      </w:r>
      <w:r w:rsidR="00AA1642">
        <w:t xml:space="preserve">transmission of bacteria coated with </w:t>
      </w:r>
      <w:r w:rsidR="009809E2" w:rsidRPr="009809E2">
        <w:t>lipopolysaccharide</w:t>
      </w:r>
      <w:r w:rsidR="009809E2" w:rsidRPr="009809E2">
        <w:rPr>
          <w:rFonts w:ascii="Arial" w:hAnsi="Arial" w:cs="Arial"/>
          <w:sz w:val="25"/>
          <w:szCs w:val="25"/>
        </w:rPr>
        <w:t xml:space="preserve"> </w:t>
      </w:r>
      <w:r w:rsidR="009809E2">
        <w:t xml:space="preserve">(LPS) </w:t>
      </w:r>
      <w:r w:rsidR="003C6528">
        <w:t>from the gut to the bloodstream, where they</w:t>
      </w:r>
      <w:r w:rsidR="002023A7">
        <w:t xml:space="preserve"> trigger an immune response and thus enhance</w:t>
      </w:r>
      <w:r w:rsidR="00FA137A">
        <w:t xml:space="preserve"> the</w:t>
      </w:r>
      <w:r w:rsidR="009809E2">
        <w:t xml:space="preserve"> chronic neuro-inflammat</w:t>
      </w:r>
      <w:r w:rsidR="00FA137A">
        <w:t>ory state exhibited by PTSD patients</w:t>
      </w:r>
      <w:r w:rsidR="009809E2">
        <w:t xml:space="preserve"> </w:t>
      </w:r>
      <w:r w:rsidR="009809E2">
        <w:fldChar w:fldCharType="begin"/>
      </w:r>
      <w:r w:rsidR="009809E2">
        <w:instrText xml:space="preserve"> ADDIN ZOTERO_ITEM CSL_CITATION {"citationID":"lNzrcHnA","properties":{"formattedCitation":"(Stilling et al. 2014; Halverson and Alagiakrishnan 2020)","plainCitation":"(Stilling et al. 2014; Halverson and Alagiakrishnan 2020)","noteIndex":0},"citationItems":[{"id":675,"uris":["http://zotero.org/users/local/wdQKiz3s/items/3C2U8GUB"],"uri":["http://zotero.org/users/local/wdQKiz3s/items/3C2U8GUB"],"itemData":{"id":675,"type":"article-journal","abstract":"To date, there is rapidly increasing evidence for host–microbe interaction at virtually all levels of complexity, ranging from direct cell-to-cell communication to extensive systemic signalling, and involving various organs and organ systems, including the central nervous system. As such, the discovery that differential microbial composition is associated with alterations in behaviour and cognition has significantly contributed to establishing the microbiota–gut–brain axis as an extension of the well-accepted gut–brain axis concept. Many efforts have been focused on delineating a role for this axis in health and disease, ranging from stress-related disorders such as depression, anxiety and irritable bowel syndrome to neurodevelopmental disorders such as autism. There is also a growing appreciation of the role of epigenetic mechanisms in shaping brain and behaviour. However, the role of epigenetics in informing host–microbe interactions has received little attention to date. This is despite the fact that there are many plausible routes of interaction between epigenetic mechanisms and the host-microbiota dialogue. From this new perspective we put forward novel, yet testable, hypotheses. Firstly, we suggest that gut-microbial products can affect chromatin plasticity within their host's brain that in turn leads to changes in neuronal transcription and eventually alters host behaviour. Secondly, we argue that the microbiota is an important mediator of gene-environment interactions. Finally, we reason that the microbiota itself may be viewed as an epigenetic entity. In conclusion, the fields of (neuro)epigenetics and microbiology are converging at many levels and more interdisciplinary studies are necessary to unravel the full range of this interaction.","container-title":"Genes, Brain and Behavior","DOI":"https://doi.org/10.1111/gbb.12109","ISSN":"1601-183X","issue":"1","language":"en","note":"_eprint: https://onlinelibrary.wiley.com/doi/pdf/10.1111/gbb.12109","page":"69-86","source":"Wiley Online Library","title":"Microbial genes, brain &amp; behaviour – epigenetic regulation of the gut–brain axis","volume":"13","author":[{"family":"Stilling","given":"R. M."},{"family":"Dinan","given":"T. G."},{"family":"Cryan","given":"J. F."}],"issued":{"date-parts":[["2014"]]}}},{"id":674,"uris":["http://zotero.org/users/local/wdQKiz3s/items/R4DHR443"],"uri":["http://zotero.org/users/local/wdQKiz3s/items/R4DHR443"],"itemData":{"id":674,"type":"article-journal","abstract":"Introduction: As individuals age, the prevalence of neurocognitive and mental health disorders increases. Current biomedical treatments do not completely address the management of these conditions. Despite new pharmacological therapy the challenges of managing these diseases remain.There is increasing evidence that the Gut Microbiome (GM) and microbial dysbiosis contribute to some of the more prevalent mental health and neurocognitive disorders, such as depression, anxiety, obsessive-compulsive disorder (OCD), post-traumatic stress disorder (PTSD), schizophrenia, bipolar disorder (BP), and dementia as well as the behavioural and psychological symptoms of dementia (BPSD) through the microbiota-gut-brain axis.\nMethodology: Scoping review about the effect of gut microbiota on neurocognitive and mental health disorders.\nResults: This scoping review found there is an evolving evidence of the involvement of the gut microbiota in the pathophysiology of neurocognitive and mental health disorders. This manuscript also discusses how the psychotropics used to treat these conditions may have an antimicrobial effect on GM, and the potential for new strategies of management with probiotics and faecal transplantation.\nConclusions: This understanding can open up the need for a gut related approach in these disorders as well as unlock the door for the role of gut related microbiota management.","container-title":"Annals of Medicine","DOI":"10.1080/07853890.2020.1808239","ISSN":"0785-3890, 1365-2060","issue":"8","journalAbbreviation":"Annals of Medicine","language":"en","page":"423-443","source":"DOI.org (Crossref)","title":"Gut microbes in neurocognitive and mental health disorders","volume":"52","author":[{"family":"Halverson","given":"Tyler"},{"family":"Alagiakrishnan","given":"Kannayiram"}],"issued":{"date-parts":[["2020",11,16]]}}}],"schema":"https://github.com/citation-style-language/schema/raw/master/csl-citation.json"} </w:instrText>
      </w:r>
      <w:r w:rsidR="009809E2">
        <w:fldChar w:fldCharType="separate"/>
      </w:r>
      <w:r w:rsidR="009809E2">
        <w:rPr>
          <w:noProof/>
        </w:rPr>
        <w:t>(Stilling et al. 2014; Halverson and Alagiakrishnan 2020)</w:t>
      </w:r>
      <w:r w:rsidR="009809E2">
        <w:fldChar w:fldCharType="end"/>
      </w:r>
      <w:r w:rsidR="009809E2">
        <w:t xml:space="preserve">. </w:t>
      </w:r>
      <w:r w:rsidR="008F72BD">
        <w:t>This n</w:t>
      </w:r>
      <w:r w:rsidR="009809E2">
        <w:t xml:space="preserve">euro-inflammation </w:t>
      </w:r>
      <w:r w:rsidR="00AB4D39">
        <w:t xml:space="preserve">further </w:t>
      </w:r>
      <w:r w:rsidR="00BF70E0">
        <w:t xml:space="preserve">contributes </w:t>
      </w:r>
      <w:r w:rsidR="00956B3E">
        <w:t xml:space="preserve">to </w:t>
      </w:r>
      <w:r w:rsidR="00BF70E0">
        <w:t>dysregulation of the HPA-axis (Figs. 3,4).</w:t>
      </w:r>
      <w:r w:rsidR="009809E2">
        <w:t xml:space="preserve"> </w:t>
      </w:r>
      <w:r w:rsidR="00362D82">
        <w:t>Gut microbiome health and</w:t>
      </w:r>
      <w:r w:rsidR="008F72BD">
        <w:t xml:space="preserve"> gut barrier</w:t>
      </w:r>
      <w:r w:rsidR="00362D82">
        <w:t xml:space="preserve"> integrity </w:t>
      </w:r>
      <w:r w:rsidR="008F72BD">
        <w:t xml:space="preserve">are thus </w:t>
      </w:r>
      <w:r w:rsidR="00F24DDA">
        <w:t xml:space="preserve">are likely critical </w:t>
      </w:r>
      <w:r w:rsidR="009809E2">
        <w:t>to avoid</w:t>
      </w:r>
      <w:r w:rsidR="00956B3E">
        <w:t>ing</w:t>
      </w:r>
      <w:r w:rsidR="009809E2">
        <w:t xml:space="preserve"> the chronic </w:t>
      </w:r>
      <w:r w:rsidR="00F24DDA">
        <w:t xml:space="preserve">system-wide </w:t>
      </w:r>
      <w:r w:rsidR="009809E2">
        <w:t xml:space="preserve">inflammation in PTSD patients. </w:t>
      </w:r>
    </w:p>
    <w:p w14:paraId="3FF65CBB" w14:textId="326AB3F2" w:rsidR="00096379" w:rsidRDefault="00096379" w:rsidP="007A1D40">
      <w:pPr>
        <w:spacing w:line="480" w:lineRule="auto"/>
      </w:pPr>
    </w:p>
    <w:p w14:paraId="764B1373" w14:textId="0A9FCD5E" w:rsidR="009076B7" w:rsidRDefault="00544D74" w:rsidP="007A1D40">
      <w:pPr>
        <w:spacing w:line="480" w:lineRule="auto"/>
      </w:pPr>
      <w:r>
        <w:rPr>
          <w:noProof/>
        </w:rPr>
        <w:lastRenderedPageBreak/>
        <w:drawing>
          <wp:inline distT="0" distB="0" distL="0" distR="0" wp14:anchorId="2F965283" wp14:editId="72D4421F">
            <wp:extent cx="5943600" cy="3931285"/>
            <wp:effectExtent l="0" t="0" r="0" b="571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3931285"/>
                    </a:xfrm>
                    <a:prstGeom prst="rect">
                      <a:avLst/>
                    </a:prstGeom>
                  </pic:spPr>
                </pic:pic>
              </a:graphicData>
            </a:graphic>
          </wp:inline>
        </w:drawing>
      </w:r>
    </w:p>
    <w:p w14:paraId="667A6EB2" w14:textId="64D9BDB7" w:rsidR="008046E4" w:rsidRDefault="009076B7" w:rsidP="007A1D40">
      <w:pPr>
        <w:spacing w:line="480" w:lineRule="auto"/>
      </w:pPr>
      <w:r>
        <w:t xml:space="preserve">Figure </w:t>
      </w:r>
      <w:r w:rsidR="00C04BB4">
        <w:t>5</w:t>
      </w:r>
      <w:r>
        <w:t xml:space="preserve">: </w:t>
      </w:r>
      <w:r w:rsidR="0056449C">
        <w:t xml:space="preserve">Schematic depiction of the link among HPA axis dysfunction, the gut microbiome, gut barrier integrity, and immune system </w:t>
      </w:r>
      <w:r w:rsidR="00F82608">
        <w:t>dysfunction</w:t>
      </w:r>
      <w:r w:rsidR="008046E4">
        <w:t xml:space="preserve">. Figure made by author using </w:t>
      </w:r>
      <w:proofErr w:type="spellStart"/>
      <w:r w:rsidR="008046E4">
        <w:t>BioRender</w:t>
      </w:r>
      <w:proofErr w:type="spellEnd"/>
      <w:r w:rsidR="008046E4">
        <w:t xml:space="preserve"> software. </w:t>
      </w:r>
    </w:p>
    <w:p w14:paraId="10241BCF" w14:textId="544B8E58" w:rsidR="002E29A1" w:rsidRDefault="002E29A1" w:rsidP="007A1D40">
      <w:pPr>
        <w:spacing w:line="480" w:lineRule="auto"/>
      </w:pPr>
    </w:p>
    <w:p w14:paraId="71A09E02" w14:textId="7F17DD9A" w:rsidR="002E29A1" w:rsidRDefault="00246DA5" w:rsidP="007A1D40">
      <w:pPr>
        <w:spacing w:line="480" w:lineRule="auto"/>
      </w:pPr>
      <w:r>
        <w:t xml:space="preserve">A healthy gut microbiome </w:t>
      </w:r>
      <w:r w:rsidR="008825E2">
        <w:t>features a</w:t>
      </w:r>
      <w:r>
        <w:t xml:space="preserve"> diversity of</w:t>
      </w:r>
      <w:r w:rsidR="00994C51">
        <w:t xml:space="preserve"> bacteria</w:t>
      </w:r>
      <w:r w:rsidR="008825E2">
        <w:t xml:space="preserve"> that</w:t>
      </w:r>
      <w:r w:rsidR="00994C51">
        <w:t xml:space="preserve"> </w:t>
      </w:r>
      <w:r w:rsidR="00E6504B">
        <w:t xml:space="preserve">can ferment carbohydrates to produce short chain fatty acids </w:t>
      </w:r>
      <w:r w:rsidR="004F35AC">
        <w:t>such as acetate, propionate, and butyrate</w:t>
      </w:r>
      <w:r w:rsidR="00F82608">
        <w:t xml:space="preserve"> that act as regulators of the immune system, the</w:t>
      </w:r>
      <w:r w:rsidR="00D56546">
        <w:t xml:space="preserve"> HPA axis</w:t>
      </w:r>
      <w:r w:rsidR="006D7A8A">
        <w:t xml:space="preserve">, and </w:t>
      </w:r>
      <w:r w:rsidR="00954E97">
        <w:t>neurotransmitters</w:t>
      </w:r>
      <w:r w:rsidR="0026545E">
        <w:t xml:space="preserve"> </w:t>
      </w:r>
      <w:r w:rsidR="00110800">
        <w:t>(</w:t>
      </w:r>
      <w:proofErr w:type="spellStart"/>
      <w:r w:rsidR="00110800">
        <w:rPr>
          <w:noProof/>
        </w:rPr>
        <w:t>Leclercq</w:t>
      </w:r>
      <w:proofErr w:type="spellEnd"/>
      <w:r w:rsidR="00110800">
        <w:rPr>
          <w:noProof/>
        </w:rPr>
        <w:t xml:space="preserve"> et al. 2016</w:t>
      </w:r>
      <w:r w:rsidR="00110800">
        <w:rPr>
          <w:noProof/>
        </w:rPr>
        <w:t>)</w:t>
      </w:r>
      <w:r w:rsidR="0026545E">
        <w:t xml:space="preserve">. </w:t>
      </w:r>
      <w:r w:rsidR="0026545E">
        <w:t>All of these modulatory effects</w:t>
      </w:r>
      <w:r w:rsidR="00523666">
        <w:t xml:space="preserve"> </w:t>
      </w:r>
      <w:r w:rsidR="0026545E">
        <w:t>ameliora</w:t>
      </w:r>
      <w:r w:rsidR="00E91275">
        <w:t>te</w:t>
      </w:r>
      <w:r w:rsidR="0026545E">
        <w:t xml:space="preserve"> the symptoms of PTSD</w:t>
      </w:r>
      <w:r w:rsidR="00E91275">
        <w:t xml:space="preserve">, such as </w:t>
      </w:r>
      <w:r w:rsidR="0026545E">
        <w:t>the chronic inflammation commonly associated with PTSD.</w:t>
      </w:r>
      <w:r w:rsidR="009811E3">
        <w:t xml:space="preserve"> </w:t>
      </w:r>
    </w:p>
    <w:p w14:paraId="0B67BB3F" w14:textId="6CC4512E" w:rsidR="002321CB" w:rsidRDefault="002321CB" w:rsidP="007A1D40">
      <w:pPr>
        <w:spacing w:line="480" w:lineRule="auto"/>
      </w:pPr>
    </w:p>
    <w:p w14:paraId="426B4F11" w14:textId="4C29840E" w:rsidR="00D14395" w:rsidRDefault="00A32F9C" w:rsidP="007A1D40">
      <w:pPr>
        <w:spacing w:line="480" w:lineRule="auto"/>
      </w:pPr>
      <w:r>
        <w:t xml:space="preserve">Probiotics can be delivered as a stool transplant </w:t>
      </w:r>
      <w:r w:rsidR="00115523">
        <w:t>which has been shown to effectively restore a healthy gut microbiome</w:t>
      </w:r>
      <w:r w:rsidR="002B7CDE">
        <w:t xml:space="preserve"> and requires maintenance via a </w:t>
      </w:r>
      <w:r w:rsidR="000B0EFD">
        <w:t xml:space="preserve">prebiotic diet </w:t>
      </w:r>
      <w:r w:rsidR="008D5EAC">
        <w:t>thereafter (</w:t>
      </w:r>
      <w:r w:rsidR="00190963">
        <w:t xml:space="preserve">Schmidt et al. </w:t>
      </w:r>
      <w:r w:rsidR="00190963">
        <w:lastRenderedPageBreak/>
        <w:t>2020)</w:t>
      </w:r>
      <w:r w:rsidR="008D5EAC">
        <w:t xml:space="preserve">. </w:t>
      </w:r>
      <w:r w:rsidR="005B1F13">
        <w:t xml:space="preserve">There are mixed results with oral consumption of a prebiotic diet </w:t>
      </w:r>
      <w:r w:rsidR="00551E62">
        <w:t xml:space="preserve">with some studies </w:t>
      </w:r>
      <w:r w:rsidR="00D10961">
        <w:t xml:space="preserve">showing that long-term oral prebiotic supplements </w:t>
      </w:r>
      <w:r w:rsidR="0099072E">
        <w:t xml:space="preserve">actually </w:t>
      </w:r>
      <w:r w:rsidR="00D10961">
        <w:t>prevented restoration of a healthy gut microbiome</w:t>
      </w:r>
      <w:r w:rsidR="00506FAB">
        <w:t xml:space="preserve"> (</w:t>
      </w:r>
      <w:r w:rsidR="00F32FF4">
        <w:t>Lawrence and Hyde 2017</w:t>
      </w:r>
      <w:r w:rsidR="00AF1BC1">
        <w:t xml:space="preserve">; Schmidt et al. 2020). </w:t>
      </w:r>
      <w:r w:rsidR="00543F53">
        <w:t>To remedy</w:t>
      </w:r>
      <w:r w:rsidR="0099072E">
        <w:t xml:space="preserve"> </w:t>
      </w:r>
      <w:r w:rsidR="00543F53">
        <w:t>chronic low-grade inflammation, a prebiotic diet along with a probiotic fecal transplant</w:t>
      </w:r>
      <w:r w:rsidR="00E71193">
        <w:t xml:space="preserve"> can be a feasible treatment option if duration and bacterial gut cultures are monitored closely</w:t>
      </w:r>
      <w:r w:rsidR="00D60178">
        <w:t xml:space="preserve"> (</w:t>
      </w:r>
      <w:proofErr w:type="spellStart"/>
      <w:r w:rsidR="00D60178">
        <w:t>Lecler</w:t>
      </w:r>
      <w:r w:rsidR="00A075FB">
        <w:t>c</w:t>
      </w:r>
      <w:r w:rsidR="00D60178">
        <w:t>q</w:t>
      </w:r>
      <w:proofErr w:type="spellEnd"/>
      <w:r w:rsidR="00A075FB">
        <w:t xml:space="preserve"> et al. 2016; </w:t>
      </w:r>
      <w:r w:rsidR="00D60178">
        <w:t xml:space="preserve">Lawrence and Hyde 2017; </w:t>
      </w:r>
      <w:r w:rsidR="00A075FB">
        <w:t>Schmidt et al. 2020)</w:t>
      </w:r>
      <w:r w:rsidR="00E71193">
        <w:t xml:space="preserve">. </w:t>
      </w:r>
      <w:r w:rsidR="00A075FB">
        <w:t xml:space="preserve">In addition to this lifestyle </w:t>
      </w:r>
      <w:r w:rsidR="0088086F">
        <w:t xml:space="preserve">intervention, exercise and stress reduction management </w:t>
      </w:r>
      <w:r w:rsidR="002C2597">
        <w:t>are presumably</w:t>
      </w:r>
      <w:r w:rsidR="0088086F">
        <w:t xml:space="preserve"> needed to </w:t>
      </w:r>
      <w:r w:rsidR="002C2597">
        <w:t>maintain a</w:t>
      </w:r>
      <w:r w:rsidR="0088086F">
        <w:t xml:space="preserve"> gut microbiome</w:t>
      </w:r>
      <w:r w:rsidR="002C2597">
        <w:t xml:space="preserve"> that can support the immune and stress systems</w:t>
      </w:r>
      <w:r w:rsidR="0088086F">
        <w:t xml:space="preserve"> (</w:t>
      </w:r>
      <w:proofErr w:type="spellStart"/>
      <w:r w:rsidR="00E76DB0">
        <w:t>Fubini</w:t>
      </w:r>
      <w:proofErr w:type="spellEnd"/>
      <w:r w:rsidR="00E76DB0">
        <w:t xml:space="preserve"> and Hubbard 2003)</w:t>
      </w:r>
      <w:r w:rsidR="0088086F">
        <w:t xml:space="preserve">. </w:t>
      </w:r>
    </w:p>
    <w:p w14:paraId="05C68D84" w14:textId="6BDC6F36" w:rsidR="00E8669F" w:rsidRPr="00096379" w:rsidRDefault="00A702BD" w:rsidP="007A1D40">
      <w:pPr>
        <w:spacing w:line="480" w:lineRule="auto"/>
      </w:pPr>
      <w:r>
        <w:t xml:space="preserve"> </w:t>
      </w:r>
    </w:p>
    <w:p w14:paraId="474C26F4" w14:textId="77777777" w:rsidR="005E152E" w:rsidRPr="00D135EC" w:rsidRDefault="005E152E" w:rsidP="005E152E">
      <w:pPr>
        <w:spacing w:line="480" w:lineRule="auto"/>
        <w:rPr>
          <w:i/>
          <w:iCs/>
        </w:rPr>
      </w:pPr>
      <w:r w:rsidRPr="00D135EC">
        <w:rPr>
          <w:i/>
          <w:iCs/>
        </w:rPr>
        <w:t>Cannabinoids</w:t>
      </w:r>
    </w:p>
    <w:p w14:paraId="0522D162" w14:textId="77777777" w:rsidR="00096379" w:rsidRDefault="00096379" w:rsidP="00096379">
      <w:pPr>
        <w:spacing w:line="480" w:lineRule="auto"/>
      </w:pPr>
    </w:p>
    <w:p w14:paraId="726B1D0A" w14:textId="0B166B81" w:rsidR="00FE024C" w:rsidRDefault="00E47EB4" w:rsidP="00096379">
      <w:pPr>
        <w:spacing w:line="480" w:lineRule="auto"/>
        <w:rPr>
          <w:color w:val="000000"/>
        </w:rPr>
      </w:pPr>
      <w:r>
        <w:t xml:space="preserve">It is widely documented that </w:t>
      </w:r>
      <w:r>
        <w:rPr>
          <w:color w:val="000000"/>
        </w:rPr>
        <w:t>PTSD</w:t>
      </w:r>
      <w:r w:rsidR="00523666">
        <w:rPr>
          <w:color w:val="000000"/>
        </w:rPr>
        <w:t xml:space="preserve">, as </w:t>
      </w:r>
      <w:r>
        <w:rPr>
          <w:color w:val="000000"/>
        </w:rPr>
        <w:t xml:space="preserve">a </w:t>
      </w:r>
      <w:r w:rsidRPr="004370CA">
        <w:rPr>
          <w:color w:val="000000"/>
        </w:rPr>
        <w:t xml:space="preserve">multifactorial </w:t>
      </w:r>
      <w:r w:rsidR="002C2597">
        <w:rPr>
          <w:color w:val="000000"/>
        </w:rPr>
        <w:t xml:space="preserve">condition with </w:t>
      </w:r>
      <w:r w:rsidRPr="004370CA">
        <w:rPr>
          <w:color w:val="000000"/>
        </w:rPr>
        <w:t>HPA axis dysregulation</w:t>
      </w:r>
      <w:r w:rsidR="00E04075">
        <w:rPr>
          <w:color w:val="000000"/>
        </w:rPr>
        <w:t xml:space="preserve"> and </w:t>
      </w:r>
      <w:r w:rsidRPr="004370CA">
        <w:rPr>
          <w:color w:val="000000"/>
        </w:rPr>
        <w:t>autonomic nervous system dysfunction</w:t>
      </w:r>
      <w:r w:rsidR="00E04075">
        <w:rPr>
          <w:color w:val="000000"/>
        </w:rPr>
        <w:t xml:space="preserve"> as well as </w:t>
      </w:r>
      <w:r w:rsidR="009A503A">
        <w:rPr>
          <w:color w:val="000000"/>
        </w:rPr>
        <w:t>chronic</w:t>
      </w:r>
      <w:r w:rsidR="00E04075">
        <w:rPr>
          <w:color w:val="000000"/>
        </w:rPr>
        <w:t xml:space="preserve"> inflammation, also </w:t>
      </w:r>
      <w:r>
        <w:rPr>
          <w:color w:val="000000"/>
        </w:rPr>
        <w:t xml:space="preserve">increased </w:t>
      </w:r>
      <w:r w:rsidR="009A503A">
        <w:rPr>
          <w:color w:val="000000"/>
        </w:rPr>
        <w:t xml:space="preserve">the </w:t>
      </w:r>
      <w:r>
        <w:rPr>
          <w:color w:val="000000"/>
        </w:rPr>
        <w:t xml:space="preserve">likelihood for substance abuse and drug dependence </w:t>
      </w:r>
      <w:r>
        <w:rPr>
          <w:color w:val="000000"/>
        </w:rPr>
        <w:fldChar w:fldCharType="begin"/>
      </w:r>
      <w:r>
        <w:rPr>
          <w:color w:val="000000"/>
        </w:rPr>
        <w:instrText xml:space="preserve"> ADDIN ZOTERO_ITEM CSL_CITATION {"citationID":"wr1i6Mwj","properties":{"formattedCitation":"(Whooley 2008; Cohen et al. 2009; Pietrzak et al. 2011)","plainCitation":"(Whooley 2008; Cohen et al. 2009; Pietrzak et al. 2011)","noteIndex":0},"citationItems":[{"id":558,"uris":["http://zotero.org/users/local/wdQKiz3s/items/P3I6GR8N"],"uri":["http://zotero.org/users/local/wdQKiz3s/items/P3I6GR8N"],"itemData":{"id":558,"type":"article-journal","container-title":"JAMA","DOI":"10.1001/jama.2008.711","ISSN":"0098-7484","issue":"20","journalAbbreviation":"JAMA","language":"en","page":"2379","source":"DOI.org (Crossref)","title":"Depressive Symptoms, Health Behaviors, and Risk of Cardiovascular Events in Patients With Coronary Heart Disease","volume":"300","author":[{"family":"Whooley","given":"Mary A."}],"issued":{"date-parts":[["2008",11,26]]}}},{"id":552,"uris":["http://zotero.org/users/local/wdQKiz3s/items/3BEL2LAK"],"uri":["http://zotero.org/users/local/wdQKiz3s/items/3BEL2LAK"],"itemData":{"id":552,"type":"article-journal","abstract":"Studies of veterans from prior wars have found that those with posttraumatic stress disorder (PTSD) are at significantly increased risk of developing and dying from cardiovascular disease. To our knowledge, cardiovascular disease risk has not been evaluated in veterans from the current conflicts in Iraq and Afghanistan. We examined the association of PTSD and other mental disorders with cardiovascular risk factors using national data from veterans of Operation Enduring Freedom/Operation Iraqi Freedom (OEF/OIF) who sought care at Department of Veterans Affairs (VA) facilities. The data source was the VA OEF/OIF Roster, containing demographic and military service information on the 41% of eligible OEF/OIF veterans who have accessed VA health care. Data were linked to inpatient and outpatient VA electronic health care records. Results suggested that veterans with mental health diagnoses had a significantly higher prevalence of all cardiovascular risk factors. Adjustment for demographic and military factors changed these associations minimally. Further adjustment for primary care and subspecialty visits reduced effect sizes, but associations between mental health diagnoses and cardiovascular risk factors remained significant except for some associations with diabetes. (PsycINFO Database Record (c) 2016 APA, all rights reserved)","container-title":"JAMA: Journal of the American Medical Association","DOI":"10.1001/jama.2009.1084","ISSN":"1538-3598(Electronic),0098-7484(Print)","issue":"5","note":"publisher-place: US\npublisher: American Medical Association","page":"489-492","source":"APA PsycNET","title":"Association of cardiovascular risk factors with mental health diagnoses in Iraq and Afghanistan war veterans using VA health care","volume":"302","author":[{"family":"Cohen","given":"Beth E."},{"family":"Marmar","given":"Charles"},{"family":"Ren","given":"Li"},{"family":"Bertenthal","given":"Daniel"},{"family":"Seal","given":"Karen H."}],"issued":{"date-parts":[["2009"]]}}},{"id":555,"uris":["http://zotero.org/users/local/wdQKiz3s/items/BC37RG8N"],"uri":["http://zotero.org/users/local/wdQKiz3s/items/BC37RG8N"],"itemData":{"id":555,"type":"article-journal","abstract":"The present study used data from the Wave 2 National Epidemiologic Survey on Alcohol and Related Conditions (n = 34,653) to examine lifetime Axis I psychiatric comorbidity of posttraumatic stress disorder (PTSD) in a nationally representative sample of U.S. adults. Lifetime prevalences ± standard errors of PTSD and partial PTSD were 6.4% ± 0.18 and 6.6% ± 0.18, respectively. Rates of PTSD and partial PTSD were higher among women (8.6% ± 0.26 and 8.6% ± 0.26) than men (4.1% ± 0.19 and 4.5% ± 0.21). Respondents with both PTSD and partial PTSD most commonly reported unexpected death of someone close, serious illness or injury to someone close, and sexual assault as their worst stressful experiences. PTSD and partial PTSD were associated with elevated lifetime rates of mood, anxiety, and substance use disorders, and suicide attempts. Respondents with partial PTSD generally had intermediate odds of comorbid Axis I disorders and psychosocial impairment relative to trauma controls and full PTSD.","container-title":"Journal of Anxiety Disorders","DOI":"10.1016/j.janxdis.2010.11.010","ISSN":"1873-7897","issue":"3","journalAbbreviation":"J Anxiety Disord","language":"eng","note":"PMID: 21168991\nPMCID: PMC3051041","page":"456-465","source":"PubMed","title":"Prevalence and Axis I comorbidity of full and partial posttraumatic stress disorder in the United States: results from Wave 2 of the National Epidemiologic Survey on Alcohol and Related Conditions","title-short":"Prevalence and Axis I comorbidity of full and partial posttraumatic stress disorder in the United States","volume":"25","author":[{"family":"Pietrzak","given":"Robert H."},{"family":"Goldstein","given":"Risë B."},{"family":"Southwick","given":"Steven M."},{"family":"Grant","given":"Bridget F."}],"issued":{"date-parts":[["2011",4]]}}}],"schema":"https://github.com/citation-style-language/schema/raw/master/csl-citation.json"} </w:instrText>
      </w:r>
      <w:r>
        <w:rPr>
          <w:color w:val="000000"/>
        </w:rPr>
        <w:fldChar w:fldCharType="separate"/>
      </w:r>
      <w:r>
        <w:rPr>
          <w:noProof/>
          <w:color w:val="000000"/>
        </w:rPr>
        <w:t>(Whooley 2008; Cohen et al. 2009; Pietrzak et al. 2011)</w:t>
      </w:r>
      <w:r>
        <w:rPr>
          <w:color w:val="000000"/>
        </w:rPr>
        <w:fldChar w:fldCharType="end"/>
      </w:r>
      <w:r w:rsidR="00810E1F">
        <w:rPr>
          <w:color w:val="000000"/>
        </w:rPr>
        <w:t>.</w:t>
      </w:r>
      <w:r w:rsidR="009A503A">
        <w:rPr>
          <w:color w:val="000000"/>
        </w:rPr>
        <w:t xml:space="preserve"> However, there is also a prospect of using modulators such as cannabis in PTSD treatment</w:t>
      </w:r>
    </w:p>
    <w:p w14:paraId="4813A115" w14:textId="77777777" w:rsidR="00242139" w:rsidRDefault="00242139" w:rsidP="00FE024C">
      <w:pPr>
        <w:spacing w:line="480" w:lineRule="auto"/>
      </w:pPr>
    </w:p>
    <w:p w14:paraId="12460936" w14:textId="311FA053" w:rsidR="00FE024C" w:rsidRDefault="00FE024C" w:rsidP="00FE024C">
      <w:pPr>
        <w:spacing w:line="480" w:lineRule="auto"/>
      </w:pPr>
      <w:r>
        <w:t xml:space="preserve">The cannabinoid receptor 1 (CB1) is the most abundant receptor within the central nervous system </w:t>
      </w:r>
      <w:r>
        <w:fldChar w:fldCharType="begin"/>
      </w:r>
      <w:r>
        <w:instrText xml:space="preserve"> ADDIN ZOTERO_ITEM CSL_CITATION {"citationID":"tTqMSHtA","properties":{"formattedCitation":"(Glass et al. 1997; LeDoux 2000; Atsak et al. 2012)","plainCitation":"(Glass et al. 1997; LeDoux 2000; Atsak et al. 2012)","noteIndex":0},"citationItems":[{"id":518,"uris":["http://zotero.org/users/local/wdQKiz3s/items/W4HSD3J3"],"uri":["http://zotero.org/users/local/wdQKiz3s/items/W4HSD3J3"],"itemData":{"id":518,"type":"article-journal","abstract":"The anatomical distribution and density of cannabinoid receptors in the human brain was studied in one fetal (33 weeks gestation), two neonatal (aged three to six months) and eight adult (aged 21-81 years) human cases using quantitative receptor autoradiography following in vitro labelling of sections with the synthetic cannabinoid agonist [3H]CP55,940. Cannabinoid receptors were distributed in a heterogeneous fashion throughout the adult human brain and spinal cord. The allocortex contained very high concentrations of cannabinoid receptor binding sites in the dentate gyrus, Ammons's horn and subiculum of the hippocampal formation; high concentrations of receptors were also present in the entorhinal cortex and amygdaloid complex. Cannabinoid receptor binding sites were also present throughout all regions of the neocortex, where they showed a marked variation in density between the primary, secondary and associational cortical regions: the greatest densities of receptors were present in the associational cortical regions of the frontal and limbic lobes, with moderate densities in the secondary sensory and motor cortical regions, and with the lowest densities of receptors in the primary sensory and motor cortical regions. Relatively high concentrations of cannabinoid receptors were consistently seen in cortical regions of the left (dominant) hemisphere, known to be associated with verbal language functions. In all of the cortical regions, the pattern and density of receptor labelling followed the neocortical laminar organization, with the greatest density of receptors localized in two discrete bands--a clearly delineated narrow superficial band which coincided with lamina I and a deeper broader, conspicuous band of labelling which corresponded to laminae V and VI. Labelling in the intervening cortical laminae (II-IV) showed lower densities, with a well delineated narrow band of label in the middle of laminae IV in the associational cortical regions. The thalamus showed a distinctive heterogeneous distribution of cannabinoid receptors, with the highest concentration of receptors localized in the mediodorsal nucleus, anterior nuclear complex, and in the midline and intralaminar complex of nuclei, i.e. in thalamic nuclei which have connectional affiliations with the associational cortical areas. The basal ganglia showed a distinctive heterogeneous pattern of receptor binding, with the very highest concentrations in the globus pallidus internus, moderate concentrations in the globus pallidus externus and ventral pallidum, and moderately low levels of binding throughout the striatal complex. In the midbrain, some of the highest levels of cannabinoid receptor binding sites in the human brain were present in the substantia nigra pars reticulata, with very low levels of labelling in all other midbrain areas. The highest densities of cannabinoid receptor binding in the hindbrain were localized in the molecular layer of the cerebellar cortex and the dorsal motor nucleus of the vagus, with moderate densities of receptors in the nucleus of the solitary tract. The spinal cord showed very low levels of receptor binding. Studies on the distribution of cannabinoid receptors in the fetal and neonatal human brain showed similar patterns of receptor distribution to that observed in the adult human brain, except that the density of receptor binding was generally markedly higher, especially in the basal ganglia and substantia nigra. The pattern of cannabinoid receptor labelling in the striatum showed a striking patchy pattern of organization which was especially conspicuous in the fetal brain. These results show that cannabinoid receptor binding sites in the human brain are localized mainly in: forebrain areas associated with higher cognitive functions; forebrain, midbrain and hindbrain areas associated with the control of movement; and in hindbrain areas associated with the control of motor and sensory functions of the autonomic nervous system. (AB","container-title":"Neuroscience","DOI":"10.1016/s0306-4522(96)00428-9","ISSN":"0306-4522","issue":"2","journalAbbreviation":"Neuroscience","language":"eng","note":"PMID: 9472392","page":"299-318","source":"PubMed","title":"Cannabinoid receptors in the human brain: a detailed anatomical and quantitative autoradiographic study in the fetal, neonatal and adult human brain","title-short":"Cannabinoid receptors in the human brain","volume":"77","author":[{"family":"Glass","given":"M."},{"family":"Dragunow","given":"M."},{"family":"Faull","given":"R. L."}],"issued":{"date-parts":[["1997",3]]}}},{"id":520,"uris":["http://zotero.org/users/local/wdQKiz3s/items/983WSARK"],"uri":["http://zotero.org/users/local/wdQKiz3s/items/983WSARK"],"itemData":{"id":520,"type":"article-journal","abstract":"The field of neuroscience has, after a long period of looking the other way, again embraced emotion as an important research area. Much of the progress has come from studies of fear, and especially fear conditioning. This work has pinpointed the amygdala as an important component of the system involved in the acquisition, storage, and expression of fear memory and has elucidated in detail how stimuli enter, travel through, and exit the amygdala. Some progress has also been made in understanding the cellular and molecular mechanisms that underlie fear conditioning, and recent studies have also shown that the findings from experimental animals apply to the human brain. It is important to remember why this work on emotion succeeded where past efforts failed. It focused on a psychologically well-defined aspect of emotion, avoided vague and poorly defined concepts such as \"affect,\" \"hedonic tone,\" or \"emotional feelings,\" and used a simple and straightforward experimental approach. With so much research being done in this area today, it is important that the mistakes of the past not be made again. It is also time to expand from this foundation into broader aspects of mind and behavior.","container-title":"Annual Review of Neuroscience","DOI":"10.1146/annurev.neuro.23.1.155","ISSN":"0147-006X","journalAbbreviation":"Annu Rev Neurosci","language":"eng","note":"PMID: 10845062","page":"155-184","source":"PubMed","title":"Emotion circuits in the brain","volume":"23","author":[{"family":"LeDoux","given":"J. E."}],"issued":{"date-parts":[["2000"]]}}},{"id":522,"uris":["http://zotero.org/users/local/wdQKiz3s/items/NKK363U6"],"uri":["http://zotero.org/users/local/wdQKiz3s/items/NKK363U6"],"itemData":{"id":522,"type":"article-journal","abstract":"Glucocorticoids, stress hormones released from the adrenal cortex, have potent modulatory effects on emotional memory. Whereas early studies focused mostly on the detrimental effects of chronic stress and glucocorticoid exposure on cognitive performance and the classic genomic pathways that mediate these effects, recent findings indicate that glucocorticoids exert complex and often rapid influences on distinct memory phases. Specifically, glucocorticoids have been shown to enhance memory consolidation of emotionally arousing experiences, but to impair memory retrieval and working memory during emotionally arousing test situations. Furthermore, growing evidence indicates that these different glucocorticoid effects depend on a nongenomically mediated interaction with emotional arousal-induced noradrenergic activation within the basolateral complex of the amygdala. In this paper, we present a model suggesting that the endocannabinoid system, a lipid-based retrograde signaling system, might play an important role in mediating such rapid glucocorticoid influences on the noradrenergic system in modulating memory of emotionally arousing experiences.","container-title":"Neuroscience","DOI":"10.1016/j.neuroscience.2011.08.047","ISSN":"1873-7544","journalAbbreviation":"Neuroscience","language":"eng","note":"PMID: 21893167","page":"104-116","source":"PubMed","title":"Role of the endocannabinoid system in regulating glucocorticoid effects on memory for emotional experiences","volume":"204","author":[{"family":"Atsak","given":"P."},{"family":"Roozendaal","given":"B."},{"family":"Campolongo","given":"P."}],"issued":{"date-parts":[["2012",3,1]]}}}],"schema":"https://github.com/citation-style-language/schema/raw/master/csl-citation.json"} </w:instrText>
      </w:r>
      <w:r>
        <w:fldChar w:fldCharType="separate"/>
      </w:r>
      <w:r>
        <w:rPr>
          <w:noProof/>
        </w:rPr>
        <w:t>(Glass et al. 1997; LeDoux 2000; Atsak et al. 2012)</w:t>
      </w:r>
      <w:r>
        <w:fldChar w:fldCharType="end"/>
      </w:r>
      <w:r>
        <w:t xml:space="preserve">; the highest concentrations of CB1 receptors are located </w:t>
      </w:r>
      <w:r w:rsidR="00551376">
        <w:t xml:space="preserve">in a part of the brain that is </w:t>
      </w:r>
      <w:r>
        <w:t>fundamental to coordination of fear-related behaviors and the processing of fear-related memories</w:t>
      </w:r>
      <w:r w:rsidR="00706C7C">
        <w:t xml:space="preserve"> (</w:t>
      </w:r>
      <w:proofErr w:type="spellStart"/>
      <w:r w:rsidR="00706C7C">
        <w:t>Neumeister</w:t>
      </w:r>
      <w:proofErr w:type="spellEnd"/>
      <w:r w:rsidR="00706C7C">
        <w:t xml:space="preserve"> et al. 2015)</w:t>
      </w:r>
      <w:r>
        <w:t xml:space="preserve">. This neurological circuit </w:t>
      </w:r>
      <w:r w:rsidR="00E821E5">
        <w:t>(amygdala-hippocampal</w:t>
      </w:r>
      <w:r w:rsidR="00142BD1">
        <w:t>-</w:t>
      </w:r>
      <w:proofErr w:type="spellStart"/>
      <w:r w:rsidR="00142BD1">
        <w:t>corticostriatal</w:t>
      </w:r>
      <w:proofErr w:type="spellEnd"/>
      <w:r w:rsidR="00142BD1">
        <w:t>, AHC circuit)</w:t>
      </w:r>
      <w:r w:rsidR="00E821E5">
        <w:t xml:space="preserve"> </w:t>
      </w:r>
      <w:r>
        <w:t xml:space="preserve">and CB1 are implicated in the consolidation and extinction of aversive memories (such as frightening </w:t>
      </w:r>
      <w:r>
        <w:lastRenderedPageBreak/>
        <w:t xml:space="preserve">flashbacks) or conditioned fear response that many PTSD patients display </w:t>
      </w:r>
      <w:r>
        <w:fldChar w:fldCharType="begin"/>
      </w:r>
      <w:r>
        <w:instrText xml:space="preserve"> ADDIN ZOTERO_ITEM CSL_CITATION {"citationID":"Fqk08Yqt","properties":{"formattedCitation":"(Bonn-Miller et al. 2011; Neumeister et al. 2015)","plainCitation":"(Bonn-Miller et al. 2011; Neumeister et al. 2015)","noteIndex":0},"citationItems":[{"id":527,"uris":["http://zotero.org/users/local/wdQKiz3s/items/27MGLPA3"],"uri":["http://zotero.org/users/local/wdQKiz3s/items/27MGLPA3"],"itemData":{"id":527,"type":"article-journal","abstract":"The present investigation prospectively evaluated whether treatment changes in PTSD symptom severity, among military Veterans in residential PTSD treatment, were related to cannabis use 4 months after discharge from residential rehabilitation. The sample was comprised of 432 male military Veteran patients (Mage = 51.06 years, SD = 4.17), who had a primary diagnosis of PTSD and were admitted to a VA residential rehabilitation program for PTSD. Results demonstrated that lower levels of change in PCL-M scores between treatment intake and discharge were significantly predictive of greater frequency of cannabis use at 4-month follow-up (p &lt; .05), even after accounting for the effects of length of treatment stay and frequency of cannabis use during the 2 months before treatment intake. Furthermore, post hoc analyses revealed that less change in PTSD avoidance/numbing and hyperarousal symptom severity during treatment was significantly predictive of a greater frequency of cannabis use at 4-month follow-up, after controlling for relevant covariates. Notably, these effects were specific to cannabis and were not found for the other substances examined among this sample, including alcohol and opiates. Implications of the findings are discussed with regard to the extant literature and future directions. (PsycINFO Database Record (c) 2017 APA, all rights reserved)","container-title":"Psychology of Addictive Behaviors","DOI":"10.1037/a0021945","ISSN":"1939-1501(Electronic),0893-164X(Print)","issue":"3","note":"publisher-place: US\npublisher: American Psychological Association","page":"485-491","source":"APA PsycNET","title":"Cannabis use among military veterans after residential treatment for posttraumatic stress disorder","volume":"25","author":[{"family":"Bonn-Miller","given":"Marcel O."},{"family":"Vujanovic","given":"Anka A."},{"family":"Drescher","given":"Kent D."}],"issued":{"date-parts":[["2011"]]}}},{"id":524,"uris":["http://zotero.org/users/local/wdQKiz3s/items/D6KNZLZC"],"uri":["http://zotero.org/users/local/wdQKiz3s/items/D6KNZLZC"],"itemData":{"id":524,"type":"article-journal","abstract":"INTRODUCTION: Posttraumatic stress disorder (PTSD) is a prevalent, chronic, and disabling anxiety disorder that may develop following exposure to a traumatic event. Despite the public health significance of PTSD, relatively little is known about the etiology or pathophysiology of this disorder, and pharmacotherapy development to date has been largely opportunistic instead of mechanism-based. Recently, an accumulating body of evidence has implicated the endocannabinoid system in the etiology of PTSD, and targets within this system are believed to be suitable for treatment development.\nMETHODS: Herein, we describe evidence from translational studies arguing for the relevance of the endocannabinoid system in the etiology of PTSD. We also show mechanisms relevant for treatment development.\nRESULTS: There is convincing evidence from multiple studies for reduced endocannabinoid availability in PTSD. Brain imaging studies show molecular adaptations with elevated cannabinoid type 1 (CB1) receptor availability in PTSD which is linked to abnormal threat processing and anxious arousal symptoms.\nCONCLUSION: Of particular relevance is evidence showing reduced levels of the endocannabinoid anandamide and compensatory increase of CB1 receptor availability in PTSD, and an association between increased CB1 receptor availability in the amygdala and abnormal threat processing, as well as increased severity of hyperarousal, but not dysphoric symptomatology, in trauma survivors. Given that hyperarousal symptoms are the key drivers of more disabling aspects of PTSD such as emotional numbing or suicidality, novel, mechanism-based pharmacotherapies that target this particular symptom cluster in patients with PTSD may have utility in mitigating the chronicity and morbidity of the disorder.","container-title":"Psychoneuroendocrinology","DOI":"10.1016/j.psyneuen.2014.10.012","ISSN":"1873-3360","journalAbbreviation":"Psychoneuroendocrinology","language":"eng","note":"PMID: 25456347\nPMCID: PMC4268027","page":"577-584","source":"PubMed","title":"Translational evidence for a role of endocannabinoids in the etiology and treatment of posttraumatic stress disorder","volume":"51","author":[{"family":"Neumeister","given":"Alexander"},{"family":"Seidel","given":"Jordan"},{"family":"Ragen","given":"Benjamin J."},{"family":"Pietrzak","given":"Robert H."}],"issued":{"date-parts":[["2015",1]]}}}],"schema":"https://github.com/citation-style-language/schema/raw/master/csl-citation.json"} </w:instrText>
      </w:r>
      <w:r>
        <w:fldChar w:fldCharType="separate"/>
      </w:r>
      <w:r>
        <w:rPr>
          <w:noProof/>
        </w:rPr>
        <w:t>(Bonn-Miller et al. 2011; Neumeister et al. 2015)</w:t>
      </w:r>
      <w:r>
        <w:fldChar w:fldCharType="end"/>
      </w:r>
      <w:r>
        <w:t xml:space="preserve">. A conditioned fear is a negative response to a neural stimulus. For example, a person who suffered from a traumatic car accident might express a negative response or aversive behavior when walking past a car in a parking lot, even though cars did not create a sense of fear in the person prior to the accident. </w:t>
      </w:r>
    </w:p>
    <w:p w14:paraId="6CB70B0A" w14:textId="77777777" w:rsidR="00242139" w:rsidRDefault="00242139" w:rsidP="00096379">
      <w:pPr>
        <w:spacing w:line="480" w:lineRule="auto"/>
        <w:rPr>
          <w:color w:val="000000"/>
        </w:rPr>
      </w:pPr>
    </w:p>
    <w:p w14:paraId="7EA044B0" w14:textId="568A1BAD" w:rsidR="00096379" w:rsidRDefault="00E5751C" w:rsidP="00096379">
      <w:pPr>
        <w:spacing w:line="480" w:lineRule="auto"/>
      </w:pPr>
      <w:r>
        <w:rPr>
          <w:color w:val="000000"/>
        </w:rPr>
        <w:t>PTSD patients are increasingly</w:t>
      </w:r>
      <w:r w:rsidR="00BA1552">
        <w:rPr>
          <w:color w:val="000000"/>
        </w:rPr>
        <w:t xml:space="preserve"> using cannabis that</w:t>
      </w:r>
      <w:r w:rsidR="000538A8">
        <w:rPr>
          <w:color w:val="000000"/>
        </w:rPr>
        <w:t xml:space="preserve"> </w:t>
      </w:r>
      <w:r w:rsidR="008D602B">
        <w:rPr>
          <w:color w:val="000000"/>
        </w:rPr>
        <w:t>interact</w:t>
      </w:r>
      <w:r w:rsidR="00CF0485">
        <w:rPr>
          <w:color w:val="000000"/>
        </w:rPr>
        <w:t>s</w:t>
      </w:r>
      <w:r w:rsidR="008D602B">
        <w:rPr>
          <w:color w:val="000000"/>
        </w:rPr>
        <w:t xml:space="preserve"> with</w:t>
      </w:r>
      <w:r w:rsidR="006F0D4C">
        <w:rPr>
          <w:color w:val="000000"/>
        </w:rPr>
        <w:t xml:space="preserve"> the endocannabinoid </w:t>
      </w:r>
      <w:r w:rsidR="00BA1552">
        <w:rPr>
          <w:color w:val="000000"/>
        </w:rPr>
        <w:t>CB</w:t>
      </w:r>
      <w:r w:rsidR="00174ADD">
        <w:rPr>
          <w:color w:val="000000"/>
        </w:rPr>
        <w:t xml:space="preserve">1 </w:t>
      </w:r>
      <w:r w:rsidR="002B4A0F">
        <w:rPr>
          <w:color w:val="000000"/>
        </w:rPr>
        <w:t>receptors</w:t>
      </w:r>
      <w:r w:rsidR="00BA1552">
        <w:rPr>
          <w:color w:val="000000"/>
        </w:rPr>
        <w:t xml:space="preserve"> </w:t>
      </w:r>
      <w:r w:rsidR="00174ADD">
        <w:rPr>
          <w:color w:val="000000"/>
        </w:rPr>
        <w:t>t</w:t>
      </w:r>
      <w:r w:rsidR="002775BF">
        <w:rPr>
          <w:color w:val="000000"/>
        </w:rPr>
        <w:t>hroughout the body</w:t>
      </w:r>
      <w:r w:rsidR="00174ADD">
        <w:rPr>
          <w:color w:val="000000"/>
        </w:rPr>
        <w:t>, and act as CB1 receptor agonists</w:t>
      </w:r>
      <w:r w:rsidR="002775BF">
        <w:rPr>
          <w:color w:val="000000"/>
        </w:rPr>
        <w:t>.</w:t>
      </w:r>
      <w:r>
        <w:rPr>
          <w:color w:val="000000"/>
        </w:rPr>
        <w:t xml:space="preserve"> </w:t>
      </w:r>
      <w:r w:rsidR="00096379" w:rsidRPr="009B315E">
        <w:t xml:space="preserve">Endocannabinoids </w:t>
      </w:r>
      <w:r w:rsidR="00A43872">
        <w:t>interact with</w:t>
      </w:r>
      <w:r w:rsidR="00096379" w:rsidRPr="009B315E">
        <w:t xml:space="preserve"> synapses</w:t>
      </w:r>
      <w:r w:rsidR="00096379">
        <w:t xml:space="preserve"> within </w:t>
      </w:r>
      <w:r w:rsidR="00096379" w:rsidRPr="009B315E">
        <w:t>the CNS</w:t>
      </w:r>
      <w:r w:rsidR="004C1EF4">
        <w:t>,</w:t>
      </w:r>
      <w:r w:rsidR="00A43872">
        <w:t xml:space="preserve"> play</w:t>
      </w:r>
      <w:r w:rsidR="004D2D2B">
        <w:t xml:space="preserve"> </w:t>
      </w:r>
      <w:r w:rsidR="00A43872">
        <w:t xml:space="preserve">a role </w:t>
      </w:r>
      <w:r w:rsidR="00096379">
        <w:t xml:space="preserve">in transmission of nerve impulses across synapses by </w:t>
      </w:r>
      <w:r w:rsidR="00096379" w:rsidRPr="009B315E">
        <w:t>inhibit</w:t>
      </w:r>
      <w:r w:rsidR="00096379">
        <w:t xml:space="preserve">ing </w:t>
      </w:r>
      <w:r w:rsidR="00096379" w:rsidRPr="009B315E">
        <w:t>neurotransmitter release</w:t>
      </w:r>
      <w:r w:rsidR="00096379">
        <w:t xml:space="preserve"> </w:t>
      </w:r>
      <w:r w:rsidR="00096379">
        <w:fldChar w:fldCharType="begin"/>
      </w:r>
      <w:r w:rsidR="00096379">
        <w:instrText xml:space="preserve"> ADDIN ZOTERO_ITEM CSL_CITATION {"citationID":"6ssDnCbt","properties":{"formattedCitation":"(Kano et al. 2009; Cachope 2012; Castillo et al. 2012)","plainCitation":"(Kano et al. 2009; Cachope 2012; Castillo et al. 2012)","noteIndex":0},"citationItems":[{"id":544,"uris":["http://zotero.org/users/local/wdQKiz3s/items/L6PWFRRY"],"uri":["http://zotero.org/users/local/wdQKiz3s/items/L6PWFRRY"],"itemData":{"id":544,"type":"article-journal","abstract":"The discovery of cannabinoid receptors and subsequent identification of their endogenous ligands (endocannabinoids) in early 1990s have greatly accelerated research on cannabinoid actions in the brain. Then, the discovery in 2001 that endocannabinoids mediate retrograde synaptic signaling has opened up a new era for cannabinoid research and also established a new concept how diffusible messengers modulate synaptic efficacy and neural activity. The last 7 years have witnessed remarkable advances in our understanding of the endocannabinoid system. It is now well accepted that endocannabinoids are released from postsynaptic neurons, activate presynaptic cannabinoid CB\n              1\n              receptors, and cause transient and long-lasting reduction of neurotransmitter release. In this review, we aim to integrate our current understanding of functions of the endocannabinoid system, especially focusing on the control of synaptic transmission in the brain. We summarize recent electrophysiological studies carried out on synapses of various brain regions and discuss how synaptic transmission is regulated by endocannabinoid signaling. Then we refer to recent anatomical studies on subcellular distribution of the molecules involved in endocannabinoid signaling and discuss how these signaling molecules are arranged around synapses. In addition, we make a brief overview of studies on cannabinoid receptors and their intracellular signaling, biochemical studies on endocannabinoid metabolism, and behavioral studies on the roles of the endocannabinoid system in various aspects of neural functions.","container-title":"Physiological Reviews","DOI":"10.1152/physrev.00019.2008","ISSN":"0031-9333, 1522-1210","issue":"1","journalAbbreviation":"Physiological Reviews","language":"en","page":"309-380","source":"DOI.org (Crossref)","title":"Endocannabinoid-Mediated Control of Synaptic Transmission","volume":"89","author":[{"family":"Kano","given":"Masanobu"},{"family":"Ohno-Shosaku","given":"Takako"},{"family":"Hashimotodani","given":"Yuki"},{"family":"Uchigashima","given":"Motokazu"},{"family":"Watanabe","given":"Masahiko"}],"issued":{"date-parts":[["2009",1]]}}},{"id":535,"uris":["http://zotero.org/users/local/wdQKiz3s/items/8RQ3VK88"],"uri":["http://zotero.org/users/local/wdQKiz3s/items/8RQ3VK88"],"itemData":{"id":535,"type":"article-journal","abstract":"Endocannabinoids (eCBs) act as modulators of synaptic transmission through activation of a number of receptors, including, but not limited to, cannabinoid receptor 1 (CB1). eCBs share CB1 receptors as a common target with Δ9-tetrahydrocannabinol (THC), the main psychoactive ingredient in marijuana. Although THC has been used for recreational and medicinal purposes for thousands of years, little was known about its effects at the cellular level or on neuronal circuits. Identification of CB1 receptors and the subsequent development of its specific ligands has therefore enhanced our ability to study and bring together a substantial amount of knowledge regarding how marijuana and eCBs modify interneuronal communication. To date, the eCB system, composed of cannabinoid receptors, ligands and the relevant enzymes, is recognized as the best-described retrograde signalling system in the brain. Its impact on synaptic transmission is widespread and more diverse than initially thought. The aim of this review is to succinctly present the most common forms of eCB-mediated modulation of synaptic transmission, while also illustrating the multiplicity of effects resulting from specializations of this signalling system at the circuital level.","container-title":"Philosophical Transactions of the Royal Society B: Biological Sciences","DOI":"10.1098/rstb.2011.0386","issue":"1607","journalAbbreviation":"Philosophical Transactions of the Royal Society B: Biological Sciences","note":"publisher: Royal Society","page":"3242-3253","source":"royalsocietypublishing.org (Atypon)","title":"Functional diversity on synaptic plasticity mediated by endocannabinoids","volume":"367","author":[{"family":"Cachope","given":"Roger"}],"issued":{"date-parts":[["2012",12,5]]}}},{"id":538,"uris":["http://zotero.org/users/local/wdQKiz3s/items/TMVWEHLN"],"uri":["http://zotero.org/users/local/wdQKiz3s/items/TMVWEHLN"],"itemData":{"id":538,"type":"article-journal","abstract":"Endocannabinoids are key modulators of synaptic function. By activating cannabinoid receptors expressed in the central nervous system, these lipid messengers can regulate several neural functions and behaviors. As experimental tools advance, the repertoire of known endocannabinoid-mediated effects at the synapse, and their underlying mechanism, continues to expand. Retrograde signaling is the principal mode by which endocannabinoids mediate short- and long-term forms of plasticity at both excitatory and inhibitory synapses. However, growing evidence suggests that endocannabinoids can also signal in a nonretrograde manner. In addition to mediating synaptic plasticity, the endocannabinoid system is itself subject to plastic changes. Multiple points of interaction with other neuromodulatory and signaling systems have now been identified. In this Review, we focus on new advances in synaptic endocannabinoid signaling in the mammalian brain. The emerging picture not only reinforces endocannabinoids as potent regulators of synaptic function but also reveals that endocannabinoid signaling is mechanistically more complex and diverse than originally thought.","container-title":"Neuron","DOI":"10.1016/j.neuron.2012.09.020","ISSN":"0896-6273","issue":"1","journalAbbreviation":"Neuron","language":"en","page":"70-81","source":"ScienceDirect","title":"Endocannabinoid Signaling and Synaptic Function","volume":"76","author":[{"family":"Castillo","given":"Pablo E."},{"family":"Younts","given":"Thomas J."},{"family":"Chávez","given":"Andrés E."},{"family":"Hashimotodani","given":"Yuki"}],"issued":{"date-parts":[["2012",10,4]]}}}],"schema":"https://github.com/citation-style-language/schema/raw/master/csl-citation.json"} </w:instrText>
      </w:r>
      <w:r w:rsidR="00096379">
        <w:fldChar w:fldCharType="separate"/>
      </w:r>
      <w:r w:rsidR="00096379">
        <w:rPr>
          <w:noProof/>
        </w:rPr>
        <w:t>(Kano et al. 2009; Cachope 2012; Castillo et al. 2012)</w:t>
      </w:r>
      <w:r w:rsidR="00096379">
        <w:fldChar w:fldCharType="end"/>
      </w:r>
      <w:r w:rsidR="00096379">
        <w:t xml:space="preserve"> and can help modulate inflammation </w:t>
      </w:r>
      <w:r w:rsidR="00096379">
        <w:fldChar w:fldCharType="begin"/>
      </w:r>
      <w:r w:rsidR="00096379">
        <w:instrText xml:space="preserve"> ADDIN ZOTERO_ITEM CSL_CITATION {"citationID":"tGhDN3kb","properties":{"formattedCitation":"(Bonn-Miller et al. 2020 Dec 9)","plainCitation":"(Bonn-Miller et al. 2020 Dec 9)","noteIndex":0},"citationItems":[{"id":710,"uris":["http://zotero.org/users/local/wdQKiz3s/items/3MX7TRL4"],"uri":["http://zotero.org/users/local/wdQKiz3s/items/3MX7TRL4"],"itemData":{"id":710,"type":"article-journal","abstract":"Introduction: Given the increasing availability and use of cannabis among individuals with post-traumatic stress disorder (PTSD) and the addition of PTSD as an eligible diagnosis in several U.S. medical cannabis programs, the efficacy of dispensary-obtained cannabis needs to be thoroughly examined.Materials and Methods: This prospective study assessed PTSD symptoms and functioning every 3 months over the course of a year in two samples of participants diagnosed with PTSD: (1) those with PTSD using dispensary-obtained cannabis (cannabis users) and (2) those with PTSD, who do not use cannabis (controls). Linear mixed-effects models and generalized estimating equations tested whether trajectories of symptoms differed between the two subsamples.Results: A total of 150 participants (mean [standard deviation] age, 50.67 [15.26] years; 73% male) were enrolled in the study. Over the course of 1 year, the cannabis users reported a greater decrease in PTSD symptom severity over time compared to controls [group×time interaction=−0.32 (95% confidence interval [CI]=−0.59 to −0.05, R2=0.13; t=−2.35, p=0.02). Participants who used cannabis were 2.57 times more likely to no longer meet DSM-5 criteria for PTSD at the end of the study observation period compared to participants who did not use cannabis (95% CI=1.12–6.07; p=0.03).Conclusions: This study provides evidence that the types of cannabis available in recreational and medical cannabis dispensaries might hold promise as an alternative treatment for PTSD. Randomized placebo-controlled trials are needed to assess safety and determine how different preparations of cannabis impact PTSD and functioning.","container-title":"Cannabis and Cannabinoid Research","DOI":"10.1089/can.2020.0056","ISSN":"2578-5125","note":"publisher: Mary Ann Liebert, Inc., publishers","source":"www-liebertpub-com.colorado.idm.oclc.org (Atypon)","title":"The Long-Term, Prospective, Therapeutic Impact of Cannabis on Post-Traumatic Stress Disorder","URL":"http://www.liebertpub.com/doi/full/10.1089/can.2020.0056","author":[{"family":"Bonn-Miller","given":"Marcel O."},{"family":"Brunstetter","given":"Megan"},{"family":"Simonian","given":"Alex"},{"family":"Loflin","given":"Mallory J."},{"family":"Vandrey","given":"Ryan"},{"family":"Babson","given":"Kimberly A."},{"family":"Wortzel","given":"Hal"}],"accessed":{"date-parts":[["2021",1,22]]},"issued":{"date-parts":[["2020",12,9]]}}}],"schema":"https://github.com/citation-style-language/schema/raw/master/csl-citation.json"} </w:instrText>
      </w:r>
      <w:r w:rsidR="00096379">
        <w:fldChar w:fldCharType="separate"/>
      </w:r>
      <w:r w:rsidR="00096379">
        <w:rPr>
          <w:noProof/>
        </w:rPr>
        <w:t>(Bonn-Miller et al. 2020)</w:t>
      </w:r>
      <w:r w:rsidR="00096379">
        <w:fldChar w:fldCharType="end"/>
      </w:r>
      <w:r w:rsidR="00096379">
        <w:t xml:space="preserve">. </w:t>
      </w:r>
      <w:r w:rsidR="00EC1BCE">
        <w:t xml:space="preserve">However, the role of endocannabinoids is complex with both anti-inflammatory and pro-inflammatory </w:t>
      </w:r>
      <w:r w:rsidR="00420E16">
        <w:t xml:space="preserve">effects </w:t>
      </w:r>
      <w:r w:rsidR="00751B3B">
        <w:fldChar w:fldCharType="begin"/>
      </w:r>
      <w:r w:rsidR="00C14D1C">
        <w:instrText xml:space="preserve"> ADDIN ZOTERO_ITEM CSL_CITATION {"citationID":"0C2l5N8F","properties":{"formattedCitation":"(Sch\\uc0\\u246{}nke et al. 2020)","plainCitation":"(Schönke et al. 2020)","noteIndex":0},"citationItems":[{"id":763,"uris":["http://zotero.org/users/local/wdQKiz3s/items/RCB53LJE"],"uri":["http://zotero.org/users/local/wdQKiz3s/items/RCB53LJE"],"itemData":{"id":763,"type":"article-journal","abstract":"Exercise is a valuable tool in the prevention and treatment of cardiometabolic diseases like obesity and type 2 diabetes. Interestingly, endocannabinoids (eCBs), involved in a large range of physiological processes, are elevated with both obesity and acute exercise. In this review we outline this paradox overlap in the context of metabolic health and delineate the transcriptomic response of skeletal muscle to acute and chronic aerobic and resistance exercise in relation to the endocannabinoid system by utilizing a meta-analyses tool. We show that exercise modulates the expression of receptors and enzymes involved in the synthesis and breakdown of eCBs and discuss that eCBs possibly interfere with the anti-inflammatory effect of exercise. The endocannabinoid system (ECS), consisting of certain endogenous lipids (i.e. endocannabinoids), their receptors and associated metabolic enzymes, is involved in the modulation of a plethora of cognitive and physiological processes. Besides its role in the control of, for example, mood formation and immune responses, the ECS takes part in the regulation of appetite and energy metabolism [1,2]. In this current opinion review we will focus on the increased activity of the ECS that is associated with cardiometabolic diseases like obesity and type 2 diabetes (T2D), which paradoxically overlaps with the acute physiological response to exercise. After 1) outlining the role of the ECS in metabolic health, we will 2) discuss the link between endocannabinoid (eCB) action in skeletal muscle and cardiometabolic disease, 3) investigate how exercise modulates the gene expression of ECS components in skeletal muscle and 4) delineate the impact of the ECS on the immune response by skeletal muscle.","collection-title":"Musculoskeletal","container-title":"Current Opinion in Pharmacology","DOI":"10.1016/j.coph.2020.05.003","ISSN":"1471-4892","journalAbbreviation":"Current Opinion in Pharmacology","language":"en","page":"52-60","source":"ScienceDirect","title":"Role of the endocannabinoid system in the regulation of the skeletal muscle response to exercise","volume":"52","author":[{"family":"Schönke","given":"Milena"},{"family":"Martinez-Tellez","given":"Borja"},{"family":"Rensen","given":"Patrick CN"}],"issued":{"date-parts":[["2020",6,1]]}}}],"schema":"https://github.com/citation-style-language/schema/raw/master/csl-citation.json"} </w:instrText>
      </w:r>
      <w:r w:rsidR="00751B3B">
        <w:fldChar w:fldCharType="separate"/>
      </w:r>
      <w:r w:rsidR="00C14D1C" w:rsidRPr="00C14D1C">
        <w:t>(Schönke et al. 2020)</w:t>
      </w:r>
      <w:r w:rsidR="00751B3B">
        <w:fldChar w:fldCharType="end"/>
      </w:r>
      <w:r w:rsidR="00C14D1C">
        <w:t xml:space="preserve">. </w:t>
      </w:r>
      <w:r w:rsidR="00096379">
        <w:t>Cannabinoids</w:t>
      </w:r>
      <w:r w:rsidR="00280666">
        <w:t xml:space="preserve"> </w:t>
      </w:r>
      <w:r w:rsidR="00005D09">
        <w:t>have the potential to</w:t>
      </w:r>
      <w:r w:rsidR="00280666">
        <w:t xml:space="preserve"> </w:t>
      </w:r>
      <w:r w:rsidR="00096379">
        <w:t>ameliorate the aberrant behaviors associated with PTSD</w:t>
      </w:r>
      <w:r w:rsidR="00280666">
        <w:t xml:space="preserve"> </w:t>
      </w:r>
      <w:r w:rsidR="00280666">
        <w:fldChar w:fldCharType="begin"/>
      </w:r>
      <w:r w:rsidR="00B94DC9">
        <w:instrText xml:space="preserve"> ADDIN ZOTERO_ITEM CSL_CITATION {"citationID":"Ct2FrKSm","properties":{"formattedCitation":"(Neumeister et al. 2015)","plainCitation":"(Neumeister et al. 2015)","noteIndex":0},"citationItems":[{"id":524,"uris":["http://zotero.org/users/local/wdQKiz3s/items/D6KNZLZC"],"uri":["http://zotero.org/users/local/wdQKiz3s/items/D6KNZLZC"],"itemData":{"id":524,"type":"article-journal","abstract":"INTRODUCTION: Posttraumatic stress disorder (PTSD) is a prevalent, chronic, and disabling anxiety disorder that may develop following exposure to a traumatic event. Despite the public health significance of PTSD, relatively little is known about the etiology or pathophysiology of this disorder, and pharmacotherapy development to date has been largely opportunistic instead of mechanism-based. Recently, an accumulating body of evidence has implicated the endocannabinoid system in the etiology of PTSD, and targets within this system are believed to be suitable for treatment development.\nMETHODS: Herein, we describe evidence from translational studies arguing for the relevance of the endocannabinoid system in the etiology of PTSD. We also show mechanisms relevant for treatment development.\nRESULTS: There is convincing evidence from multiple studies for reduced endocannabinoid availability in PTSD. Brain imaging studies show molecular adaptations with elevated cannabinoid type 1 (CB1) receptor availability in PTSD which is linked to abnormal threat processing and anxious arousal symptoms.\nCONCLUSION: Of particular relevance is evidence showing reduced levels of the endocannabinoid anandamide and compensatory increase of CB1 receptor availability in PTSD, and an association between increased CB1 receptor availability in the amygdala and abnormal threat processing, as well as increased severity of hyperarousal, but not dysphoric symptomatology, in trauma survivors. Given that hyperarousal symptoms are the key drivers of more disabling aspects of PTSD such as emotional numbing or suicidality, novel, mechanism-based pharmacotherapies that target this particular symptom cluster in patients with PTSD may have utility in mitigating the chronicity and morbidity of the disorder.","container-title":"Psychoneuroendocrinology","DOI":"10.1016/j.psyneuen.2014.10.012","ISSN":"1873-3360","journalAbbreviation":"Psychoneuroendocrinology","language":"eng","note":"PMID: 25456347\nPMCID: PMC4268027","page":"577-584","source":"PubMed","title":"Translational evidence for a role of endocannabinoids in the etiology and treatment of posttraumatic stress disorder","volume":"51","author":[{"family":"Neumeister","given":"Alexander"},{"family":"Seidel","given":"Jordan"},{"family":"Ragen","given":"Benjamin J."},{"family":"Pietrzak","given":"Robert H."}],"issued":{"date-parts":[["2015",1]]}}}],"schema":"https://github.com/citation-style-language/schema/raw/master/csl-citation.json"} </w:instrText>
      </w:r>
      <w:r w:rsidR="00280666">
        <w:fldChar w:fldCharType="separate"/>
      </w:r>
      <w:r w:rsidR="00B94DC9">
        <w:rPr>
          <w:noProof/>
        </w:rPr>
        <w:t>(Neumeister et al. 2015)</w:t>
      </w:r>
      <w:r w:rsidR="00280666">
        <w:fldChar w:fldCharType="end"/>
      </w:r>
      <w:r w:rsidR="00B94DC9">
        <w:t xml:space="preserve">, reminiscent </w:t>
      </w:r>
      <w:r w:rsidR="00710A56">
        <w:t>of t</w:t>
      </w:r>
      <w:r w:rsidR="00096379">
        <w:t>he effects of exercise</w:t>
      </w:r>
      <w:r w:rsidR="00710A56">
        <w:t xml:space="preserve"> in</w:t>
      </w:r>
      <w:r w:rsidR="00096379">
        <w:t xml:space="preserve"> stimulating endocannabinoid receptors.</w:t>
      </w:r>
      <w:r w:rsidR="001B5D81">
        <w:t xml:space="preserve"> Due to the complex effect of cannabinoids, dose and duration</w:t>
      </w:r>
      <w:r w:rsidR="00353912">
        <w:t xml:space="preserve"> of cannabinoid administration</w:t>
      </w:r>
      <w:r w:rsidR="001B5D81">
        <w:t xml:space="preserve"> need further attention.</w:t>
      </w:r>
    </w:p>
    <w:p w14:paraId="65781124" w14:textId="77777777" w:rsidR="00096379" w:rsidRDefault="00096379" w:rsidP="00096379">
      <w:pPr>
        <w:spacing w:line="480" w:lineRule="auto"/>
      </w:pPr>
    </w:p>
    <w:p w14:paraId="74FC4EA3" w14:textId="24B2B936" w:rsidR="008743ED" w:rsidRPr="00E64CF8" w:rsidRDefault="00353912" w:rsidP="007A1D40">
      <w:pPr>
        <w:spacing w:line="480" w:lineRule="auto"/>
      </w:pPr>
      <w:r>
        <w:t xml:space="preserve">By acting as CB1 agonists, </w:t>
      </w:r>
      <w:r w:rsidR="00A65B83">
        <w:t>cannabis</w:t>
      </w:r>
      <w:r w:rsidR="00096379">
        <w:t xml:space="preserve"> </w:t>
      </w:r>
      <w:r w:rsidR="00800168">
        <w:t>may be able to</w:t>
      </w:r>
      <w:r w:rsidR="00096379">
        <w:t xml:space="preserve"> reduc</w:t>
      </w:r>
      <w:r w:rsidR="00800168">
        <w:t>e</w:t>
      </w:r>
      <w:r w:rsidR="00096379">
        <w:t xml:space="preserve"> depressive and anxiety disorders commonly associated with PTSD. Preclinical</w:t>
      </w:r>
      <w:r w:rsidR="00096379" w:rsidRPr="00753F87">
        <w:t xml:space="preserve"> </w:t>
      </w:r>
      <w:r w:rsidR="00096379">
        <w:t xml:space="preserve">trials </w:t>
      </w:r>
      <w:r w:rsidR="00096379" w:rsidRPr="00753F87">
        <w:t xml:space="preserve">conducted </w:t>
      </w:r>
      <w:r w:rsidR="00096379">
        <w:t>o</w:t>
      </w:r>
      <w:r w:rsidR="00096379" w:rsidRPr="00753F87">
        <w:t>n animal models suggest that</w:t>
      </w:r>
      <w:r w:rsidR="00096379">
        <w:t xml:space="preserve"> the</w:t>
      </w:r>
      <w:r w:rsidR="00096379" w:rsidRPr="00753F87">
        <w:t xml:space="preserve"> CB</w:t>
      </w:r>
      <w:r w:rsidR="00D43731">
        <w:t>1</w:t>
      </w:r>
      <w:r w:rsidR="00096379" w:rsidRPr="00753F87">
        <w:t xml:space="preserve"> receptor agonists at low doses</w:t>
      </w:r>
      <w:r w:rsidR="00096379">
        <w:t xml:space="preserve"> of </w:t>
      </w:r>
      <w:r w:rsidR="00D43731">
        <w:t xml:space="preserve">the cannabinoid </w:t>
      </w:r>
      <w:r w:rsidR="00096379" w:rsidRPr="00BF3CD5">
        <w:rPr>
          <w:rFonts w:ascii="Times" w:hAnsi="Times"/>
          <w:color w:val="212121"/>
          <w:shd w:val="clear" w:color="auto" w:fill="FFFFFF"/>
        </w:rPr>
        <w:t>delta-9-tetrahydrocannabinol</w:t>
      </w:r>
      <w:r w:rsidR="00096379" w:rsidRPr="00753F87">
        <w:t xml:space="preserve"> </w:t>
      </w:r>
      <w:r w:rsidR="00096379">
        <w:t>(</w:t>
      </w:r>
      <w:r w:rsidR="00096379" w:rsidRPr="005860E8">
        <w:t>Δ</w:t>
      </w:r>
      <w:r w:rsidR="00096379" w:rsidRPr="005860E8">
        <w:rPr>
          <w:vertAlign w:val="superscript"/>
        </w:rPr>
        <w:t>9</w:t>
      </w:r>
      <w:r w:rsidR="00096379" w:rsidRPr="005860E8">
        <w:t>-THC</w:t>
      </w:r>
      <w:r w:rsidR="00096379">
        <w:t>)</w:t>
      </w:r>
      <w:r w:rsidR="00362622">
        <w:t xml:space="preserve">, the main cannabis ingredient with psychoactive properties, </w:t>
      </w:r>
      <w:r w:rsidR="00096379" w:rsidRPr="00753F87">
        <w:t>may reduce anxiety-like behavior</w:t>
      </w:r>
      <w:r w:rsidR="00096379">
        <w:t xml:space="preserve"> by activating the C</w:t>
      </w:r>
      <w:r w:rsidR="00800168">
        <w:t>B1</w:t>
      </w:r>
      <w:r w:rsidR="00096379">
        <w:t xml:space="preserve"> receptors </w:t>
      </w:r>
      <w:r w:rsidR="00096379">
        <w:fldChar w:fldCharType="begin"/>
      </w:r>
      <w:r w:rsidR="00096379">
        <w:instrText xml:space="preserve"> ADDIN ZOTERO_ITEM CSL_CITATION {"citationID":"ga3RCiZQ","properties":{"formattedCitation":"(Moreira and Wotjak 2010; Buckner et al. 2013)","plainCitation":"(Moreira and Wotjak 2010; Buckner et al. 2013)","noteIndex":0},"citationItems":[{"id":548,"uris":["http://zotero.org/users/local/wdQKiz3s/items/RBHBMH59"],"uri":["http://zotero.org/users/local/wdQKiz3s/items/RBHBMH59"],"itemData":{"id":548,"type":"chapter","abstract":"The term cannabinoids encompasses compounds produced by the plant Cannabis sativa, such as Δ 9-tetrahydrocannabinol, and synthetic counterparts. Their actions occur mainly through activation of cannabinoid type 1 (CB1) receptors. Arachidonoyl ethanolamide (anandamide) and 2-arachidonoyl glycerol (2-AG) serve as major endogenous ligands (endocannabinoids) of CB1 receptors. Hence, the cannabinoid receptors, the endocannabinoids, and their metabolizing enzymes comprise the endocannabinoid system. Cannabinoids induce diverse responses on anxiety- and fear-related behaviors. Generally, low doses tend to induce anxiolytic-like effects, whereas high doses often cause the opposite. Inhibition of endocannabinoid degradation seems to circumvent these biphasic effects by enhancing CB1 receptor signaling in a temporarily and spatially restricted manner, thus reducing anxiety-like behaviors. Pharmacological blockade or genetic deletion of CB1 receptors, in turn, primarily exerts anxiogenic-like effects and impairments in extinction of aversive memories. Interestingly, pharmacological blockade of Transient Receptor Potential Vanilloid Type-1 (TRPV1) channel, which can be activated by anandamide as well, has diametrically opposite consequences. This book chapter summarizes and conceptualizes our current knowledge about the role of (endo)cannabinoids in fear and anxiety and outlines implications for an exploitation of the endocannabinoid system as a target for new anxiolytic drugs.","collection-title":"Current Topics in Behavioral Neurosciences","container-title":"Behavioral Neurobiology of Anxiety and Its Treatment","event-place":"Berlin, Heidelberg","ISBN":"978-3-642-02912-7","language":"en","note":"DOI: 10.1007/7854_2009_16","page":"429-450","publisher":"Springer","publisher-place":"Berlin, Heidelberg","source":"Springer Link","title":"Cannabinoids and Anxiety","URL":"https://doi.org/10.1007/7854_2009_16","author":[{"family":"Moreira","given":"Fabrício A."},{"family":"Wotjak","given":"Carsten T."}],"editor":[{"family":"Stein","given":"Murray B."},{"family":"Steckler","given":"Thomas"}],"accessed":{"date-parts":[["2020",12,15]]},"issued":{"date-parts":[["2010"]]}}},{"id":545,"uris":["http://zotero.org/users/local/wdQKiz3s/items/5CQUY23S"],"uri":["http://zotero.org/users/local/wdQKiz3s/items/5CQUY23S"],"itemData":{"id":545,"type":"article-journal","abstract":"Given that marijuana remains the most commonly used illicit substance, identification of the role of potentially malleable cognitive factors in marijuana-related behaviors remains an important goal. The Marijuana Effect Expectancies Questionnaire (MEEQ; Schafer &amp; Brown, 1991) assesses marijuana effect expectancies that are differentially related to marijuana use and use-related problems. Evaluation of the desirability of marijuana effect expectancies may provide additional information regarding cognitions related to marijuana use behaviors. The present study examined the psychometric properties of the Marijuana Effect Expectancy Questionnaire—Valuations Scale (MEEQ-V) which was developed for this study to assess the desirability of marijuana effect expectancies. The sample was comprised of 925 (73.0% female) undergraduate participants, 41.9% of whom endorsed lifetime marijuana use and 24.7% of whom reported current (past three-month) use. The MEEQ-V scales demonstrated adequate internal consistency. Most (but not all) MEEQ-V scales were correlated with their corresponding MEEQ scale. There was some support for convergent validity. MEEQ-V scales were differentially related to frequency of marijuana use and use-related problems. Most MEEQ-V scales were related to frequency of marijuana use above and beyond variance attributable to corresponding MEEQ scales. Results suggest that assessment of desirability of marijuana's effects could provide unique and important information about cognitions related to marijuana use behaviors.","container-title":"Addictive Behaviors","DOI":"10.1016/j.addbeh.2012.10.010","ISSN":"0306-4603","issue":"3","journalAbbreviation":"Addictive Behaviors","language":"en","page":"1629-1634","source":"ScienceDirect","title":"Psychometric properties of a valuations scale for the Marijuana Effect Expectancies Questionnaire","volume":"38","author":[{"family":"Buckner","given":"Julia D."},{"family":"Ecker","given":"Anthony H."},{"family":"Welch","given":"Katherine D."}],"issued":{"date-parts":[["2013",3,1]]}}}],"schema":"https://github.com/citation-style-language/schema/raw/master/csl-citation.json"} </w:instrText>
      </w:r>
      <w:r w:rsidR="00096379">
        <w:fldChar w:fldCharType="separate"/>
      </w:r>
      <w:r w:rsidR="00096379">
        <w:rPr>
          <w:noProof/>
        </w:rPr>
        <w:t>(Moreira and Wotjak 2010; Buckner et al. 2013)</w:t>
      </w:r>
      <w:r w:rsidR="00096379">
        <w:fldChar w:fldCharType="end"/>
      </w:r>
      <w:r w:rsidR="00DF1EF9">
        <w:t xml:space="preserve"> and </w:t>
      </w:r>
      <w:r w:rsidR="00096379">
        <w:t>down-regulat</w:t>
      </w:r>
      <w:r w:rsidR="00DF1EF9">
        <w:t>ing</w:t>
      </w:r>
      <w:r w:rsidR="00096379">
        <w:t xml:space="preserve"> pro-inflammatory </w:t>
      </w:r>
      <w:r w:rsidR="0099590C">
        <w:t>such as</w:t>
      </w:r>
      <w:r w:rsidR="00096379">
        <w:t xml:space="preserve"> cytokine levels </w:t>
      </w:r>
      <w:r w:rsidR="00096379">
        <w:fldChar w:fldCharType="begin"/>
      </w:r>
      <w:r w:rsidR="00096379">
        <w:instrText xml:space="preserve"> ADDIN ZOTERO_ITEM CSL_CITATION {"citationID":"crHIgQla","properties":{"formattedCitation":"(H.P. Miller et al. 2020)","plainCitation":"(H.P. Miller et al. 2020)","noteIndex":0},"citationItems":[{"id":715,"uris":["http://zotero.org/users/local/wdQKiz3s/items/D8E28T2G"],"uri":["http://zotero.org/users/local/wdQKiz3s/items/D8E28T2G"],"itemData":{"id":715,"type":"article-journal","abstract":"THC is the main psychoactive compound found in marijuana. A number of studies over the past few decades, both in vitro and in vivo, have demonstrated that THC down-regulates the inflammatory process through various mechanisms. Similar findings have been demonstrated with CBD, the other major bioactive component of marijuana. Given the essential role that inflammation plays in early wound healing, it is possible that marijuana, or its individual constituents, may impact this process. Herein, we review the existing literature related to the effects of THC on inflammation and potentially wound healing, and discuss how this connection may be relevant from a surgical perspective.","container-title":"Cellular Immunology","DOI":"10.1016/j.cellimm.2020.104111","ISSN":"0008-8749","journalAbbreviation":"Cellular Immunology","language":"en","page":"104111","source":"ScienceDirect","title":"The effects of delta-9-tetrahydrocannabinol (THC) on inflammation: A review","title-short":"The effects of delta-9-tetrahydrocannabinol (THC) on inflammation","volume":"352","author":[{"family":"Miller","given":"Henry P."},{"family":"Bonawitz","given":"Steven C."},{"family":"Ostrovsky","given":"Olga"}],"issued":{"date-parts":[["2020",6,1]]}}}],"schema":"https://github.com/citation-style-language/schema/raw/master/csl-citation.json"} </w:instrText>
      </w:r>
      <w:r w:rsidR="00096379">
        <w:fldChar w:fldCharType="separate"/>
      </w:r>
      <w:r w:rsidR="00096379">
        <w:rPr>
          <w:noProof/>
        </w:rPr>
        <w:t>(H.P. Miller et al. 2020)</w:t>
      </w:r>
      <w:r w:rsidR="00096379">
        <w:fldChar w:fldCharType="end"/>
      </w:r>
      <w:r w:rsidR="00096379">
        <w:t xml:space="preserve">. </w:t>
      </w:r>
      <w:r w:rsidR="0087050B">
        <w:t xml:space="preserve">Cannabidiol </w:t>
      </w:r>
      <w:r w:rsidR="0087050B">
        <w:lastRenderedPageBreak/>
        <w:t xml:space="preserve">(CBD) is </w:t>
      </w:r>
      <w:r w:rsidR="0099590C">
        <w:t>the other</w:t>
      </w:r>
      <w:r w:rsidR="0087050B">
        <w:t xml:space="preserve"> major constituent and </w:t>
      </w:r>
      <w:r w:rsidR="00FD614C">
        <w:t>nonintoxicating</w:t>
      </w:r>
      <w:r w:rsidR="0087050B">
        <w:t xml:space="preserve"> ingredient </w:t>
      </w:r>
      <w:r w:rsidR="00C6705A">
        <w:t xml:space="preserve">in </w:t>
      </w:r>
      <w:r w:rsidR="00B01025">
        <w:t>cannabis and</w:t>
      </w:r>
      <w:r w:rsidR="00C6705A">
        <w:t xml:space="preserve"> has </w:t>
      </w:r>
      <w:r w:rsidR="009729F2">
        <w:t xml:space="preserve">the </w:t>
      </w:r>
      <w:r w:rsidR="00C6705A">
        <w:t xml:space="preserve">potential to </w:t>
      </w:r>
      <w:r w:rsidR="009729F2">
        <w:t xml:space="preserve">act </w:t>
      </w:r>
      <w:r w:rsidR="00091DFC">
        <w:t xml:space="preserve">synergistically </w:t>
      </w:r>
      <w:r w:rsidR="009729F2">
        <w:t>with</w:t>
      </w:r>
      <w:r w:rsidR="00091DFC">
        <w:t xml:space="preserve"> </w:t>
      </w:r>
      <w:r w:rsidR="00060B9D">
        <w:t xml:space="preserve"> </w:t>
      </w:r>
      <w:r w:rsidR="00091DFC" w:rsidRPr="005860E8">
        <w:t>Δ</w:t>
      </w:r>
      <w:r w:rsidR="00091DFC" w:rsidRPr="005860E8">
        <w:rPr>
          <w:vertAlign w:val="superscript"/>
        </w:rPr>
        <w:t>9</w:t>
      </w:r>
      <w:r w:rsidR="00091DFC" w:rsidRPr="005860E8">
        <w:t>-THC</w:t>
      </w:r>
      <w:r w:rsidR="00091DFC">
        <w:t xml:space="preserve"> </w:t>
      </w:r>
      <w:r w:rsidR="002410CA">
        <w:t>in</w:t>
      </w:r>
      <w:r w:rsidR="00091DFC">
        <w:t xml:space="preserve"> </w:t>
      </w:r>
      <w:r w:rsidR="0030161D">
        <w:t>eliminat</w:t>
      </w:r>
      <w:r w:rsidR="002410CA">
        <w:t xml:space="preserve">ing </w:t>
      </w:r>
      <w:r w:rsidR="0030161D">
        <w:t>fear</w:t>
      </w:r>
      <w:r w:rsidR="00CC3B77">
        <w:t>-based memories</w:t>
      </w:r>
      <w:r w:rsidR="00B01025">
        <w:t>; a</w:t>
      </w:r>
      <w:r w:rsidR="00720BAD">
        <w:t xml:space="preserve"> double-blind trial performed </w:t>
      </w:r>
      <w:r w:rsidR="000D06A1">
        <w:t xml:space="preserve">on 48 volunteers indicated that </w:t>
      </w:r>
      <w:r w:rsidR="00090E46">
        <w:t xml:space="preserve">CBD can enhance </w:t>
      </w:r>
      <w:r w:rsidR="00364666">
        <w:t>extinction of fear-based memories in humans</w:t>
      </w:r>
      <w:r w:rsidR="002737C1">
        <w:t xml:space="preserve"> </w:t>
      </w:r>
      <w:r w:rsidR="002737C1">
        <w:fldChar w:fldCharType="begin"/>
      </w:r>
      <w:r w:rsidR="00B9324C">
        <w:instrText xml:space="preserve"> ADDIN ZOTERO_ITEM CSL_CITATION {"citationID":"igkyH01N","properties":{"formattedCitation":"(Das et al. 2013)","plainCitation":"(Das et al. 2013)","noteIndex":0},"citationItems":[{"id":773,"uris":["http://zotero.org/users/local/wdQKiz3s/items/SGMY2D2G"],"uri":["http://zotero.org/users/local/wdQKiz3s/items/SGMY2D2G"],"itemData":{"id":773,"type":"article-journal","abstract":"Whilst Cannabidiol (CBD), a non-psychotomimetic cannabinoid, has been shown to enhance extinction learning in rats, its effects on fear memory in humans have not previously been studied.","container-title":"Psychopharmacology","DOI":"10.1007/s00213-012-2955-y","ISSN":"1432-2072","issue":"4","journalAbbreviation":"Psychopharmacology","language":"en","page":"781-792","source":"Springer Link","title":"Cannabidiol enhances consolidation of explicit fear extinction in humans","volume":"226","author":[{"family":"Das","given":"Ravi K."},{"family":"Kamboj","given":"Sunjeev K."},{"family":"Ramadas","given":"Mayurun"},{"family":"Yogan","given":"Kishoj"},{"family":"Gupta","given":"Vivek"},{"family":"Redman","given":"Emily"},{"family":"Curran","given":"H. Valerie"},{"family":"Morgan","given":"Celia J. A."}],"issued":{"date-parts":[["2013",4,1]]}}}],"schema":"https://github.com/citation-style-language/schema/raw/master/csl-citation.json"} </w:instrText>
      </w:r>
      <w:r w:rsidR="002737C1">
        <w:fldChar w:fldCharType="separate"/>
      </w:r>
      <w:r w:rsidR="00B9324C">
        <w:rPr>
          <w:noProof/>
        </w:rPr>
        <w:t>(Das et al. 2013)</w:t>
      </w:r>
      <w:r w:rsidR="002737C1">
        <w:fldChar w:fldCharType="end"/>
      </w:r>
      <w:r w:rsidR="00B9324C">
        <w:t xml:space="preserve">. </w:t>
      </w:r>
      <w:r w:rsidR="009334CD">
        <w:t xml:space="preserve">However, </w:t>
      </w:r>
      <w:r w:rsidR="00B76AAC" w:rsidRPr="00B76AAC">
        <w:t xml:space="preserve">long-term use of </w:t>
      </w:r>
      <w:r w:rsidR="00600B6A">
        <w:t xml:space="preserve">cannabis containing </w:t>
      </w:r>
      <w:r w:rsidR="00600B6A" w:rsidRPr="005860E8">
        <w:t>Δ</w:t>
      </w:r>
      <w:r w:rsidR="00600B6A" w:rsidRPr="005860E8">
        <w:rPr>
          <w:vertAlign w:val="superscript"/>
        </w:rPr>
        <w:t>9</w:t>
      </w:r>
      <w:r w:rsidR="00600B6A" w:rsidRPr="005860E8">
        <w:t>-THC</w:t>
      </w:r>
      <w:r w:rsidR="00600B6A">
        <w:t xml:space="preserve"> and CBD </w:t>
      </w:r>
      <w:r w:rsidR="00B76AAC" w:rsidRPr="00B76AAC">
        <w:t xml:space="preserve">can have detrimental outcomes </w:t>
      </w:r>
      <w:r w:rsidR="00E92E4C">
        <w:t>and</w:t>
      </w:r>
      <w:r w:rsidR="00B76AAC" w:rsidRPr="00B76AAC">
        <w:t xml:space="preserve"> increase the risk of mental illnesses, including addiction and psychosis</w:t>
      </w:r>
      <w:r w:rsidR="00CE1D3A">
        <w:t xml:space="preserve"> as well as</w:t>
      </w:r>
      <w:r w:rsidR="00B76AAC" w:rsidRPr="00B76AAC">
        <w:t xml:space="preserve"> impair</w:t>
      </w:r>
      <w:r w:rsidR="00CE1D3A">
        <w:t>ing</w:t>
      </w:r>
      <w:r w:rsidR="00B76AAC" w:rsidRPr="00B76AAC">
        <w:t xml:space="preserve"> executive functio</w:t>
      </w:r>
      <w:r w:rsidR="00CE1D3A">
        <w:t>ns (</w:t>
      </w:r>
      <w:r w:rsidR="00637AC7">
        <w:t xml:space="preserve">Pagano et al. </w:t>
      </w:r>
      <w:r w:rsidR="000F4771">
        <w:t>2020)</w:t>
      </w:r>
      <w:r w:rsidR="00EE3F6A">
        <w:t xml:space="preserve">. </w:t>
      </w:r>
      <w:r w:rsidR="00577D0A">
        <w:t xml:space="preserve">Future </w:t>
      </w:r>
      <w:r w:rsidR="00B654BC">
        <w:t>research is needed to determine d</w:t>
      </w:r>
      <w:r w:rsidR="00EE3F6A">
        <w:t xml:space="preserve">ose and duration of a </w:t>
      </w:r>
      <w:r w:rsidR="00B654BC">
        <w:t xml:space="preserve">treatment for PTSD with </w:t>
      </w:r>
      <w:r w:rsidR="00EE3F6A" w:rsidRPr="005860E8">
        <w:t>Δ</w:t>
      </w:r>
      <w:r w:rsidR="00EE3F6A" w:rsidRPr="005860E8">
        <w:rPr>
          <w:vertAlign w:val="superscript"/>
        </w:rPr>
        <w:t>9</w:t>
      </w:r>
      <w:r w:rsidR="00EE3F6A" w:rsidRPr="005860E8">
        <w:t>-THC</w:t>
      </w:r>
      <w:r w:rsidR="00EE3F6A">
        <w:t xml:space="preserve"> and CBD</w:t>
      </w:r>
      <w:r w:rsidR="00B654BC">
        <w:t xml:space="preserve">. </w:t>
      </w:r>
    </w:p>
    <w:p w14:paraId="35FB27ED" w14:textId="395C3430" w:rsidR="001210F8" w:rsidRPr="00447517" w:rsidRDefault="001210F8" w:rsidP="007A1D40">
      <w:pPr>
        <w:spacing w:line="480" w:lineRule="auto"/>
        <w:rPr>
          <w:color w:val="000000"/>
          <w:shd w:val="clear" w:color="auto" w:fill="FFFFFF"/>
        </w:rPr>
      </w:pPr>
    </w:p>
    <w:p w14:paraId="6913DEC1" w14:textId="1237A286" w:rsidR="002725ED" w:rsidRDefault="00B617CF" w:rsidP="0055604B">
      <w:pPr>
        <w:spacing w:line="480" w:lineRule="auto"/>
        <w:rPr>
          <w:i/>
          <w:iCs/>
          <w:color w:val="000000"/>
          <w:shd w:val="clear" w:color="auto" w:fill="FFFFFF"/>
        </w:rPr>
      </w:pPr>
      <w:r w:rsidRPr="00447517">
        <w:rPr>
          <w:i/>
          <w:iCs/>
          <w:color w:val="000000"/>
          <w:shd w:val="clear" w:color="auto" w:fill="FFFFFF"/>
        </w:rPr>
        <w:t>Physical Activity</w:t>
      </w:r>
      <w:r w:rsidR="00882C4F" w:rsidRPr="00447517">
        <w:rPr>
          <w:i/>
          <w:iCs/>
          <w:color w:val="000000"/>
          <w:shd w:val="clear" w:color="auto" w:fill="FFFFFF"/>
        </w:rPr>
        <w:t>, Inflammation,</w:t>
      </w:r>
      <w:r w:rsidR="002725ED" w:rsidRPr="00447517">
        <w:rPr>
          <w:i/>
          <w:iCs/>
          <w:color w:val="000000"/>
          <w:shd w:val="clear" w:color="auto" w:fill="FFFFFF"/>
        </w:rPr>
        <w:t xml:space="preserve"> </w:t>
      </w:r>
      <w:r w:rsidR="00882C4F" w:rsidRPr="00447517">
        <w:rPr>
          <w:i/>
          <w:iCs/>
          <w:color w:val="000000"/>
          <w:shd w:val="clear" w:color="auto" w:fill="FFFFFF"/>
        </w:rPr>
        <w:t xml:space="preserve">and </w:t>
      </w:r>
      <w:r w:rsidR="002725ED" w:rsidRPr="00447517">
        <w:rPr>
          <w:i/>
          <w:iCs/>
          <w:color w:val="000000"/>
          <w:shd w:val="clear" w:color="auto" w:fill="FFFFFF"/>
        </w:rPr>
        <w:t xml:space="preserve">PTSD </w:t>
      </w:r>
      <w:r w:rsidR="00882C4F" w:rsidRPr="00447517">
        <w:rPr>
          <w:i/>
          <w:iCs/>
          <w:color w:val="000000"/>
          <w:shd w:val="clear" w:color="auto" w:fill="FFFFFF"/>
        </w:rPr>
        <w:t>T</w:t>
      </w:r>
      <w:r w:rsidR="002725ED" w:rsidRPr="00447517">
        <w:rPr>
          <w:i/>
          <w:iCs/>
          <w:color w:val="000000"/>
          <w:shd w:val="clear" w:color="auto" w:fill="FFFFFF"/>
        </w:rPr>
        <w:t xml:space="preserve">reatment </w:t>
      </w:r>
    </w:p>
    <w:p w14:paraId="7B629FC1" w14:textId="77777777" w:rsidR="0055604B" w:rsidRPr="00447517" w:rsidRDefault="0055604B" w:rsidP="0055604B">
      <w:pPr>
        <w:spacing w:line="480" w:lineRule="auto"/>
        <w:rPr>
          <w:i/>
          <w:iCs/>
          <w:color w:val="000000"/>
          <w:shd w:val="clear" w:color="auto" w:fill="FFFFFF"/>
        </w:rPr>
      </w:pPr>
    </w:p>
    <w:p w14:paraId="1D4A4A4C" w14:textId="3C92D2AF" w:rsidR="00947D81" w:rsidRPr="00947D81" w:rsidRDefault="00B75E94" w:rsidP="0055604B">
      <w:pPr>
        <w:spacing w:line="480" w:lineRule="auto"/>
      </w:pPr>
      <w:r>
        <w:t>As stated above,</w:t>
      </w:r>
      <w:r w:rsidR="00882C4F">
        <w:t xml:space="preserve"> lifestyle interventions</w:t>
      </w:r>
      <w:r>
        <w:t xml:space="preserve"> beyond diet</w:t>
      </w:r>
      <w:r w:rsidR="00882C4F">
        <w:t>, such as physical activity</w:t>
      </w:r>
      <w:r w:rsidR="004D52A6">
        <w:t xml:space="preserve">, </w:t>
      </w:r>
      <w:r w:rsidR="008D0687">
        <w:t>can ameliorate both the symptoms of PTSD and its</w:t>
      </w:r>
      <w:r w:rsidR="00D01975">
        <w:t xml:space="preserve"> </w:t>
      </w:r>
      <w:r w:rsidR="001210F8">
        <w:t>comorbidit</w:t>
      </w:r>
      <w:r w:rsidR="00D01975">
        <w:t>ies</w:t>
      </w:r>
      <w:r w:rsidR="0014357F">
        <w:t xml:space="preserve"> </w:t>
      </w:r>
      <w:r w:rsidR="0022201A">
        <w:fldChar w:fldCharType="begin"/>
      </w:r>
      <w:r w:rsidR="003D7C13">
        <w:instrText xml:space="preserve"> ADDIN ZOTERO_ITEM CSL_CITATION {"citationID":"ma8gzFDd","properties":{"formattedCitation":"(Caddick and Smith 2018)","plainCitation":"(Caddick and Smith 2018)","noteIndex":0},"citationItems":[{"id":766,"uris":["http://zotero.org/users/local/wdQKiz3s/items/R6GEK4UV"],"uri":["http://zotero.org/users/local/wdQKiz3s/items/R6GEK4UV"],"itemData":{"id":766,"type":"article-journal","abstract":"Different approaches to treatment for mental health problems in military veterans continue to attract research attention. In addition to the NICE-approved treatments for post-traumatic stress disorder such as trauma-focused cognitive behavioural therapy and eye-movement desensitisation and reprocessing, a number of novel and innovative approaches have recently been developed. One such approach is encapsulated under the emerging paradigm of ‘exercise as/is medicine’. Following recent calls to strengthen the evidence base for new and emerging mental health treatments for veterans, this paper presents a commentary on current evidence in support of ‘exercise as medicine’ derived from qualitative research studies. It is concluded that qualitative research has made a significant contribution to the emerging evidence base for exercise-based interventions. This evidence base can be used to inform current debates about quality assurance in the area of veterans’ mental health-care and to underpin quality provision for service users. Qualitative research also has a significant future contribution to make towards improving the evaluation of novel treatment approaches, generating more impactful research and increasing the applicability of research findings in ‘exercise as/is medicine’. The paper closes with some critical reflections on the role of exercise-based interventions as a means of helping veterans improve their mental health.","container-title":"Qualitative Research in Sport, Exercise and Health","DOI":"10.1080/2159676X.2017.1333033","ISSN":"2159-676X","issue":"4","note":"publisher: Routledge\n_eprint: https://doi.org/10.1080/2159676X.2017.1333033","page":"429-440","source":"Taylor and Francis+NEJM","title":"Exercise is medicine for mental health in military veterans: a qualitative commentary","title-short":"Exercise is medicine for mental health in military veterans","volume":"10","author":[{"family":"Caddick","given":"Nick"},{"family":"Smith","given":"Brett"}],"issued":{"date-parts":[["2018",8,8]]}}}],"schema":"https://github.com/citation-style-language/schema/raw/master/csl-citation.json"} </w:instrText>
      </w:r>
      <w:r w:rsidR="0022201A">
        <w:fldChar w:fldCharType="separate"/>
      </w:r>
      <w:r w:rsidR="003D7C13">
        <w:rPr>
          <w:noProof/>
        </w:rPr>
        <w:t>(Caddick and Smith 2018)</w:t>
      </w:r>
      <w:r w:rsidR="0022201A">
        <w:fldChar w:fldCharType="end"/>
      </w:r>
      <w:r w:rsidR="004045C8">
        <w:t xml:space="preserve">. </w:t>
      </w:r>
      <w:r w:rsidR="00F64C9F">
        <w:t>However, a</w:t>
      </w:r>
      <w:r w:rsidR="004045C8">
        <w:t xml:space="preserve"> sedentary lifestyle is also common in PTSD patients </w:t>
      </w:r>
      <w:r w:rsidR="004045C8">
        <w:fldChar w:fldCharType="begin"/>
      </w:r>
      <w:r w:rsidR="00A26189">
        <w:instrText xml:space="preserve"> ADDIN ZOTERO_ITEM CSL_CITATION {"citationID":"pGlGa2We","properties":{"formattedCitation":"(Pietrzak et al. 2011)","plainCitation":"(Pietrzak et al. 2011)","noteIndex":0},"citationItems":[{"id":555,"uris":["http://zotero.org/users/local/wdQKiz3s/items/BC37RG8N"],"uri":["http://zotero.org/users/local/wdQKiz3s/items/BC37RG8N"],"itemData":{"id":555,"type":"article-journal","abstract":"The present study used data from the Wave 2 National Epidemiologic Survey on Alcohol and Related Conditions (n = 34,653) to examine lifetime Axis I psychiatric comorbidity of posttraumatic stress disorder (PTSD) in a nationally representative sample of U.S. adults. Lifetime prevalences ± standard errors of PTSD and partial PTSD were 6.4% ± 0.18 and 6.6% ± 0.18, respectively. Rates of PTSD and partial PTSD were higher among women (8.6% ± 0.26 and 8.6% ± 0.26) than men (4.1% ± 0.19 and 4.5% ± 0.21). Respondents with both PTSD and partial PTSD most commonly reported unexpected death of someone close, serious illness or injury to someone close, and sexual assault as their worst stressful experiences. PTSD and partial PTSD were associated with elevated lifetime rates of mood, anxiety, and substance use disorders, and suicide attempts. Respondents with partial PTSD generally had intermediate odds of comorbid Axis I disorders and psychosocial impairment relative to trauma controls and full PTSD.","container-title":"Journal of Anxiety Disorders","DOI":"10.1016/j.janxdis.2010.11.010","ISSN":"1873-7897","issue":"3","journalAbbreviation":"J Anxiety Disord","language":"eng","note":"PMID: 21168991\nPMCID: PMC3051041","page":"456-465","source":"PubMed","title":"Prevalence and Axis I comorbidity of full and partial posttraumatic stress disorder in the United States: results from Wave 2 of the National Epidemiologic Survey on Alcohol and Related Conditions","title-short":"Prevalence and Axis I comorbidity of full and partial posttraumatic stress disorder in the United States","volume":"25","author":[{"family":"Pietrzak","given":"Robert H."},{"family":"Goldstein","given":"Risë B."},{"family":"Southwick","given":"Steven M."},{"family":"Grant","given":"Bridget F."}],"issued":{"date-parts":[["2011",4]]}}}],"schema":"https://github.com/citation-style-language/schema/raw/master/csl-citation.json"} </w:instrText>
      </w:r>
      <w:r w:rsidR="004045C8">
        <w:fldChar w:fldCharType="separate"/>
      </w:r>
      <w:r w:rsidR="00A26189">
        <w:rPr>
          <w:noProof/>
        </w:rPr>
        <w:t>(Pietrzak et al. 2011)</w:t>
      </w:r>
      <w:r w:rsidR="004045C8">
        <w:fldChar w:fldCharType="end"/>
      </w:r>
      <w:r w:rsidR="00A26189">
        <w:t xml:space="preserve">. </w:t>
      </w:r>
      <w:r w:rsidR="00F64C9F">
        <w:t>Such p</w:t>
      </w:r>
      <w:r w:rsidR="00A26189">
        <w:t xml:space="preserve">hysical inactivity fails to produce endogenous antioxidant enzymes triggered by exercise </w:t>
      </w:r>
      <w:r w:rsidR="00367BCA">
        <w:fldChar w:fldCharType="begin"/>
      </w:r>
      <w:r w:rsidR="00622685">
        <w:instrText xml:space="preserve"> ADDIN ZOTERO_ITEM CSL_CITATION {"citationID":"0bnhiFja","properties":{"formattedCitation":"(Benjamin Adams et al. 2014)","plainCitation":"(Benjamin Adams et al. 2014)","noteIndex":0},"citationItems":[{"id":769,"uris":["http://zotero.org/users/local/wdQKiz3s/items/66JYZ7NT"],"uri":["http://zotero.org/users/local/wdQKiz3s/items/66JYZ7NT"],"itemData":{"id":769,"type":"article-journal","abstract":"Purpose The purpose of this review is to summarize new research indicating that high-dose supplements of the antioxidant vitamin C can interfere with the benefits of physical exercise for athletic performance and the risk for chronic disease. Design/methodology/approach This article reviews current original literature on the regulation of human metabolism by oxidants and antioxidants and evaluates the role of exercise and high-dose vitamin C in this context. The presentation in this article aims to be informative and accessible to both experts and non-experts. Findings The evidence reviewed here indicates that single, high-dose supplements of the antioxidant vitamin C abolish the beneficial effects of athletic training on muscle recovery and strength as well as abolishing the benefits of exercise in lowering the risk for chronic disease. In contrast, an antioxidant-rich diet based on regular foods apparently enhances the benefits of exercise. These findings are consistent with an updated understanding of the critical importance of both oxidants and antioxidants in the regulation of human metabolism. While more research is needed to address the role of timing and level of antioxidant consumption, it is clear that a balance between oxidants and antioxidants is essential. Practical implications The information presented in this review is important for both athletes and the public at large in their efforts to choose nutrition and exercise regimes appropriate to maximize the outcome of their training efforts and lower their risk for chronic disease. Originality/value This article provides accessible and comprehensive information to researchers, nutritionists, and consumers interested in optimal nutrition during athletic training and for obtaining the full benefit of physical exercise in lowering the risk for chronic disease.","container-title":"Nutrition &amp; Food Science","DOI":"10.1108/NFS-03-2013-0038","ISSN":"0034-6659","issue":"2","note":"publisher: Emerald Group Publishing Limited","page":"95-101","source":"Emerald Insight","title":"High-dose vitamin C supplements diminish the benefits of exercise in athletic training and disease prevention","volume":"44","author":[{"family":"Benjamin Adams","given":"Robert"},{"family":"Nkechiyere Egbo","given":"Karen"},{"family":"Demmig-Adams","given":"Barbara"}],"issued":{"date-parts":[["2014",1,1]]}}}],"schema":"https://github.com/citation-style-language/schema/raw/master/csl-citation.json"} </w:instrText>
      </w:r>
      <w:r w:rsidR="00367BCA">
        <w:fldChar w:fldCharType="separate"/>
      </w:r>
      <w:r w:rsidR="00622685">
        <w:rPr>
          <w:noProof/>
        </w:rPr>
        <w:t>(Adams et al. 2014)</w:t>
      </w:r>
      <w:r w:rsidR="00367BCA">
        <w:fldChar w:fldCharType="end"/>
      </w:r>
      <w:r w:rsidR="00622685">
        <w:t>, which links physical inactivity to chronic inflammation</w:t>
      </w:r>
      <w:r w:rsidR="008E726B">
        <w:t xml:space="preserve">. </w:t>
      </w:r>
      <w:r w:rsidR="001210F8">
        <w:t xml:space="preserve"> </w:t>
      </w:r>
      <w:r w:rsidR="008E726B">
        <w:t xml:space="preserve">A </w:t>
      </w:r>
      <w:r w:rsidR="001210F8">
        <w:t xml:space="preserve">novel therapy </w:t>
      </w:r>
      <w:r w:rsidR="008E726B">
        <w:t>based</w:t>
      </w:r>
      <w:r w:rsidR="001210F8">
        <w:t xml:space="preserve"> on the growing literature </w:t>
      </w:r>
      <w:r w:rsidR="00D84ECE">
        <w:t>on</w:t>
      </w:r>
      <w:r w:rsidR="001210F8">
        <w:t xml:space="preserve"> exercise intervention for PTSD</w:t>
      </w:r>
      <w:r w:rsidR="00D84ECE">
        <w:t>,</w:t>
      </w:r>
      <w:r w:rsidR="001210F8">
        <w:t xml:space="preserve"> </w:t>
      </w:r>
      <w:r w:rsidR="00D84ECE">
        <w:t>t</w:t>
      </w:r>
      <w:r w:rsidR="001210F8" w:rsidRPr="00F961AD">
        <w:t xml:space="preserve">rauma-sensitive yoga (TSY), </w:t>
      </w:r>
      <w:r w:rsidR="001210F8">
        <w:t xml:space="preserve">is </w:t>
      </w:r>
      <w:r w:rsidR="001210F8" w:rsidRPr="00F961AD">
        <w:t>designed for complex trauma survivors</w:t>
      </w:r>
      <w:r w:rsidR="00CE1A36">
        <w:t xml:space="preserve"> </w:t>
      </w:r>
      <w:r w:rsidR="008C628B">
        <w:fldChar w:fldCharType="begin"/>
      </w:r>
      <w:r w:rsidR="005A3A24">
        <w:instrText xml:space="preserve"> ADDIN ZOTERO_ITEM CSL_CITATION {"citationID":"qInWPNmF","properties":{"formattedCitation":"(West et al. 2017)","plainCitation":"(West et al. 2017)","noteIndex":0},"citationItems":[{"id":772,"uris":["http://zotero.org/users/local/wdQKiz3s/items/5FYBH6RJ"],"uri":["http://zotero.org/users/local/wdQKiz3s/items/5FYBH6RJ"],"itemData":{"id":772,"type":"article-journal","abstract":"Research on Posttraumatic Stress Disorder and chronic childhood abuse has revealed that traditional trauma treatments often fail to fully address the complicated symptom presentation, including the somatic complaints, loss of awareness of one's emotional and physical being in the present moment, and overall lack of integration between the self and the body. The mindfulnessbased intervention of hatha yoga shows promise as a complementary treatment, and focuses on personal growth in addition to symptom reduction. This qualitative study explored the experiences of thirty-one adult women with PTSD related to chronic childhood trauma who participated in a 10-week Trauma Sensitive Yoga class, specifically examining perceived changes in symptoms and personal growth. Five themes were identified that reflect participants’ feelings of Gratitude and compassion, Relatedness, Acceptance, Centeredness, and Empowerment. Results and implications for research and clinical work are presented.","container-title":"International Journal of Stress Management","DOI":"10.1037/str0000040","ISSN":"1573-3424, 1072-5245","issue":"2","journalAbbreviation":"International Journal of Stress Management","language":"en","page":"173-195","source":"DOI.org (Crossref)","title":"Trauma sensitive yoga as a complementary treatment for posttraumatic stress disorder: A qualitative descriptive analysis.","title-short":"Trauma sensitive yoga as a complementary treatment for posttraumatic stress disorder","volume":"24","author":[{"family":"West","given":"Jennifer"},{"family":"Liang","given":"Belle"},{"family":"Spinazzola","given":"Joseph"}],"issued":{"date-parts":[["2017",5]]}}}],"schema":"https://github.com/citation-style-language/schema/raw/master/csl-citation.json"} </w:instrText>
      </w:r>
      <w:r w:rsidR="008C628B">
        <w:fldChar w:fldCharType="separate"/>
      </w:r>
      <w:r w:rsidR="005A3A24">
        <w:rPr>
          <w:noProof/>
        </w:rPr>
        <w:t>(West et al. 2017)</w:t>
      </w:r>
      <w:r w:rsidR="008C628B">
        <w:fldChar w:fldCharType="end"/>
      </w:r>
      <w:r w:rsidR="001210F8" w:rsidRPr="00F961AD">
        <w:t xml:space="preserve">. As TSY continues to grow in popularity and </w:t>
      </w:r>
      <w:r w:rsidR="001210F8">
        <w:t>integrates itself</w:t>
      </w:r>
      <w:r w:rsidR="001210F8" w:rsidRPr="00F961AD">
        <w:t xml:space="preserve"> into various mental health treatment facilities, </w:t>
      </w:r>
      <w:r w:rsidR="001210F8">
        <w:t>the</w:t>
      </w:r>
      <w:r w:rsidR="001210F8" w:rsidRPr="00F961AD">
        <w:t xml:space="preserve"> timely </w:t>
      </w:r>
      <w:r w:rsidR="001210F8">
        <w:t>response to</w:t>
      </w:r>
      <w:r w:rsidR="001210F8" w:rsidRPr="00F961AD">
        <w:t xml:space="preserve"> address the prospect of pairing TSY with conventional psychotherapeutic interventions</w:t>
      </w:r>
      <w:r w:rsidR="001210F8">
        <w:t xml:space="preserve"> is critical </w:t>
      </w:r>
      <w:r w:rsidR="001210F8">
        <w:fldChar w:fldCharType="begin"/>
      </w:r>
      <w:r w:rsidR="001210F8">
        <w:instrText xml:space="preserve"> ADDIN ZOTERO_ITEM CSL_CITATION {"citationID":"Bq1cBwG2","properties":{"formattedCitation":"(Ong 2020)","plainCitation":"(Ong 2020)","noteIndex":0},"citationItems":[{"id":308,"uris":["http://zotero.org/users/local/wdQKiz3s/items/YZYVUSYN"],"uri":["http://zotero.org/users/local/wdQKiz3s/items/YZYVUSYN"],"itemData":{"id":308,"type":"article-journal","abstract":"Trauma-sensitive yoga (TSY) is a body-oriented yoga practice, intentionally designed to help complex trauma survivors recover by developing self-awareness, self-regulation, and a benevolent relationship with their bodies. There is a growing body of evidence supporting TSY’s efficacy in reducing participants’ posttraumatic stress disorder (PTSD) symptoms and facilitating holistic trauma recovery beyond conventional psychotherapies. Given the promise shown by TSY as an adjunct trauma intervention that is consistent with a trauma-informed approach, it is timely to discuss how counselors can integrate TSY into their psychotherapeutic interventions to optimize trauma recovery. This article begins with a review of the TSY literature, followed by recommendations for counselors to weave TSY-informed interventions into psychotherapy with complex trauma clients, further illustrated in a case vignette.","container-title":"Journal of Creativity in Mental Health","DOI":"10.1080/15401383.2020.1761498","ISSN":"1540-1383","issue":"0","note":"publisher: Routledge\n_eprint: https://doi.org/10.1080/15401383.2020.1761498","page":"1-14","source":"Taylor and Francis+NEJM","title":"Treating Complex Trauma Survivors: A Trauma-Sensitive Yoga (TSY)-Informed Psychotherapeutic Approach","title-short":"Treating Complex Trauma Survivors","volume":"0","author":[{"family":"Ong","given":"Isabelle"}],"issued":{"date-parts":[["2020",5,18]]}}}],"schema":"https://github.com/citation-style-language/schema/raw/master/csl-citation.json"} </w:instrText>
      </w:r>
      <w:r w:rsidR="001210F8">
        <w:fldChar w:fldCharType="separate"/>
      </w:r>
      <w:r w:rsidR="001210F8">
        <w:rPr>
          <w:noProof/>
        </w:rPr>
        <w:t>(Ong 2020)</w:t>
      </w:r>
      <w:r w:rsidR="001210F8">
        <w:fldChar w:fldCharType="end"/>
      </w:r>
      <w:r w:rsidR="001210F8">
        <w:t xml:space="preserve">. </w:t>
      </w:r>
      <w:r w:rsidR="001210F8" w:rsidRPr="003C5B15">
        <w:t xml:space="preserve">Participants in </w:t>
      </w:r>
      <w:r w:rsidR="00902DEE">
        <w:t xml:space="preserve">a 12-week intervention regime </w:t>
      </w:r>
      <w:r w:rsidR="00C9369F">
        <w:t xml:space="preserve">based on </w:t>
      </w:r>
      <w:r w:rsidR="001210F8">
        <w:t xml:space="preserve">TSY </w:t>
      </w:r>
      <w:r w:rsidR="00C9369F">
        <w:t>reported a lessening of</w:t>
      </w:r>
      <w:r w:rsidR="001210F8" w:rsidRPr="003C5B15">
        <w:t xml:space="preserve"> </w:t>
      </w:r>
      <w:r w:rsidR="001210F8">
        <w:t>emotional</w:t>
      </w:r>
      <w:r w:rsidR="001210F8" w:rsidRPr="003C5B15">
        <w:t xml:space="preserve"> suppression </w:t>
      </w:r>
      <w:r w:rsidR="006C68F3">
        <w:t>(</w:t>
      </w:r>
      <w:r w:rsidR="001210F8" w:rsidRPr="003C5B15">
        <w:t>restrict</w:t>
      </w:r>
      <w:r w:rsidR="008837FB">
        <w:t>ed e</w:t>
      </w:r>
      <w:r w:rsidR="001210F8" w:rsidRPr="003C5B15">
        <w:t>xpression of emotions</w:t>
      </w:r>
      <w:r w:rsidR="00A6412E">
        <w:t xml:space="preserve">; </w:t>
      </w:r>
      <w:r w:rsidR="001210F8">
        <w:fldChar w:fldCharType="begin"/>
      </w:r>
      <w:r w:rsidR="001210F8">
        <w:instrText xml:space="preserve"> ADDIN ZOTERO_ITEM CSL_CITATION {"citationID":"7b1hCvCP","properties":{"formattedCitation":"(Dick et al. 2014; Ong 2020)","plainCitation":"(Dick et al. 2014; Ong 2020)","noteIndex":0},"citationItems":[{"id":549,"uris":["http://zotero.org/users/local/wdQKiz3s/items/R6MBVX5I"],"uri":["http://zotero.org/users/local/wdQKiz3s/items/R6MBVX5I"],"itemData":{"id":549,"type":"article-journal","abstract":"Objective This study explored possible mechanisms through which symptoms of posttraumatic stress disorder (PTSD) were reduced in a randomized controlled trial comparing the effect of a yoga intervention with an assessment control. Method We examined whether changes in psychological flexibility, mindfulness, and emotion regulation strategies (expressive suppression and reappraisal) were associated with posttreatment PTSD symptoms for 38 women with Diagnostic and Statistical Manual of Mental Disorders Fourth Edition full or subthreshold PTSD. Results Hierarchical linear regression models revealed that expressive suppression significantly decreased for the yoga group relative to the assessment control. Psychological flexibility increased significantly for the control but not yoga group. However, increases in psychological flexibility were associated with decreases in PTSD symptoms for the yoga but not control group. Conclusion Preliminary findings suggest that yoga may reduce expressive suppression and may improve PTSD symptoms by increasing psychological flexibility. More research is needed to replicate and extend these findings.","container-title":"Journal of Clinical Psychology","DOI":"https://doi.org/10.1002/jclp.22104","ISSN":"1097-4679","issue":"12","language":"en","note":"_eprint: https://onlinelibrary.wiley.com/doi/pdf/10.1002/jclp.22104","page":"1170-1182","source":"Wiley Online Library","title":"Examining Mechanisms of Change in a Yoga Intervention for Women: The Influence of Mindfulness, Psychological Flexibility, and Emotion Regulation on PTSD Symptoms","title-short":"Examining Mechanisms of Change in a Yoga Intervention for Women","volume":"70","author":[{"family":"Dick","given":"Alexandra M."},{"family":"Niles","given":"Barbara L."},{"family":"Street","given":"Amy E."},{"family":"DiMartino","given":"Dawn M."},{"family":"Mitchell","given":"Karen S."}],"issued":{"date-parts":[["2014"]]}}},{"id":308,"uris":["http://zotero.org/users/local/wdQKiz3s/items/YZYVUSYN"],"uri":["http://zotero.org/users/local/wdQKiz3s/items/YZYVUSYN"],"itemData":{"id":308,"type":"article-journal","abstract":"Trauma-sensitive yoga (TSY) is a body-oriented yoga practice, intentionally designed to help complex trauma survivors recover by developing self-awareness, self-regulation, and a benevolent relationship with their bodies. There is a growing body of evidence supporting TSY’s efficacy in reducing participants’ posttraumatic stress disorder (PTSD) symptoms and facilitating holistic trauma recovery beyond conventional psychotherapies. Given the promise shown by TSY as an adjunct trauma intervention that is consistent with a trauma-informed approach, it is timely to discuss how counselors can integrate TSY into their psychotherapeutic interventions to optimize trauma recovery. This article begins with a review of the TSY literature, followed by recommendations for counselors to weave TSY-informed interventions into psychotherapy with complex trauma clients, further illustrated in a case vignette.","container-title":"Journal of Creativity in Mental Health","DOI":"10.1080/15401383.2020.1761498","ISSN":"1540-1383","issue":"0","note":"publisher: Routledge\n_eprint: https://doi.org/10.1080/15401383.2020.1761498","page":"1-14","source":"Taylor and Francis+NEJM","title":"Treating Complex Trauma Survivors: A Trauma-Sensitive Yoga (TSY)-Informed Psychotherapeutic Approach","title-short":"Treating Complex Trauma Survivors","volume":"0","author":[{"family":"Ong","given":"Isabelle"}],"issued":{"date-parts":[["2020",5,18]]}}}],"schema":"https://github.com/citation-style-language/schema/raw/master/csl-citation.json"} </w:instrText>
      </w:r>
      <w:r w:rsidR="001210F8">
        <w:fldChar w:fldCharType="separate"/>
      </w:r>
      <w:r w:rsidR="001210F8">
        <w:rPr>
          <w:noProof/>
        </w:rPr>
        <w:t>Dick et al. 2014; Ong 2020)</w:t>
      </w:r>
      <w:r w:rsidR="001210F8">
        <w:fldChar w:fldCharType="end"/>
      </w:r>
      <w:r w:rsidR="001210F8">
        <w:t xml:space="preserve">. </w:t>
      </w:r>
      <w:r w:rsidR="00A6412E">
        <w:t>TSY therapy</w:t>
      </w:r>
      <w:r w:rsidR="001210F8">
        <w:t xml:space="preserve"> has potential </w:t>
      </w:r>
      <w:r w:rsidR="00A6412E">
        <w:t xml:space="preserve">due to its </w:t>
      </w:r>
      <w:r w:rsidR="001210F8">
        <w:t>low</w:t>
      </w:r>
      <w:r w:rsidR="006142E6">
        <w:t xml:space="preserve"> </w:t>
      </w:r>
      <w:r w:rsidR="001210F8">
        <w:t>cost and</w:t>
      </w:r>
      <w:r w:rsidR="006142E6">
        <w:t xml:space="preserve"> benefits (in the form of</w:t>
      </w:r>
      <w:r w:rsidR="001210F8">
        <w:t xml:space="preserve"> relaxing sensations</w:t>
      </w:r>
      <w:r w:rsidR="006142E6">
        <w:t>)</w:t>
      </w:r>
      <w:r w:rsidR="001210F8">
        <w:t xml:space="preserve"> </w:t>
      </w:r>
      <w:r w:rsidR="006142E6">
        <w:t>for</w:t>
      </w:r>
      <w:r w:rsidR="001210F8">
        <w:t xml:space="preserve"> </w:t>
      </w:r>
      <w:r w:rsidR="001210F8">
        <w:lastRenderedPageBreak/>
        <w:t>PTSD patients</w:t>
      </w:r>
      <w:r w:rsidR="006142E6">
        <w:t>.</w:t>
      </w:r>
      <w:r w:rsidR="006103FF">
        <w:t xml:space="preserve"> </w:t>
      </w:r>
      <w:r w:rsidR="00741C7B">
        <w:t xml:space="preserve">Yoga serves as a </w:t>
      </w:r>
      <w:r w:rsidR="005127D2" w:rsidRPr="005127D2">
        <w:rPr>
          <w:color w:val="000000"/>
          <w:shd w:val="clear" w:color="auto" w:fill="FFFFFF"/>
        </w:rPr>
        <w:t xml:space="preserve">viable intervention to reduce inflammation </w:t>
      </w:r>
      <w:r w:rsidR="00CA55F9">
        <w:rPr>
          <w:color w:val="000000"/>
          <w:shd w:val="clear" w:color="auto" w:fill="FFFFFF"/>
        </w:rPr>
        <w:t>due to its beneficial effects on inflammatory cytokines (</w:t>
      </w:r>
      <w:proofErr w:type="spellStart"/>
      <w:r w:rsidR="0055604B">
        <w:rPr>
          <w:color w:val="000000"/>
          <w:shd w:val="clear" w:color="auto" w:fill="FFFFFF"/>
        </w:rPr>
        <w:t>D</w:t>
      </w:r>
      <w:r w:rsidR="007E33FD">
        <w:rPr>
          <w:color w:val="000000"/>
          <w:shd w:val="clear" w:color="auto" w:fill="FFFFFF"/>
        </w:rPr>
        <w:t>jalilova</w:t>
      </w:r>
      <w:proofErr w:type="spellEnd"/>
      <w:r w:rsidR="007E33FD">
        <w:rPr>
          <w:color w:val="000000"/>
          <w:shd w:val="clear" w:color="auto" w:fill="FFFFFF"/>
        </w:rPr>
        <w:t xml:space="preserve"> et al. 2019</w:t>
      </w:r>
      <w:r w:rsidR="00455021">
        <w:rPr>
          <w:color w:val="000000"/>
          <w:shd w:val="clear" w:color="auto" w:fill="FFFFFF"/>
        </w:rPr>
        <w:t xml:space="preserve">). </w:t>
      </w:r>
      <w:r w:rsidR="005D524C">
        <w:rPr>
          <w:color w:val="000000"/>
          <w:shd w:val="clear" w:color="auto" w:fill="FFFFFF"/>
        </w:rPr>
        <w:t>Many studies on TSY have shown significant improvements in inflammatory biomarker</w:t>
      </w:r>
      <w:r w:rsidR="00947D81">
        <w:rPr>
          <w:color w:val="000000"/>
          <w:shd w:val="clear" w:color="auto" w:fill="FFFFFF"/>
        </w:rPr>
        <w:t>, thereby reducing the concentrations of certain cytokines known to cause inflammation (</w:t>
      </w:r>
      <w:r w:rsidR="00947D81" w:rsidRPr="00947D81">
        <w:t>IL-6, CRP, and TNF-α</w:t>
      </w:r>
      <w:r w:rsidR="0055604B">
        <w:t>) (</w:t>
      </w:r>
      <w:proofErr w:type="spellStart"/>
      <w:r w:rsidR="00035BD8">
        <w:t>Mourya</w:t>
      </w:r>
      <w:proofErr w:type="spellEnd"/>
      <w:r w:rsidR="00035BD8">
        <w:t xml:space="preserve"> et al. 2009; </w:t>
      </w:r>
      <w:proofErr w:type="spellStart"/>
      <w:r w:rsidR="00846071">
        <w:t>Lakk</w:t>
      </w:r>
      <w:r w:rsidR="00B22632">
        <w:t>ireddy</w:t>
      </w:r>
      <w:proofErr w:type="spellEnd"/>
      <w:r w:rsidR="00B22632">
        <w:t xml:space="preserve"> et al.</w:t>
      </w:r>
      <w:proofErr w:type="spellStart"/>
      <w:r w:rsidR="00B22632">
        <w:t xml:space="preserve"> </w:t>
      </w:r>
      <w:proofErr w:type="spellEnd"/>
      <w:r w:rsidR="00B22632">
        <w:t xml:space="preserve">2013; </w:t>
      </w:r>
      <w:proofErr w:type="spellStart"/>
      <w:r w:rsidR="007E33FD">
        <w:t>Djalilova</w:t>
      </w:r>
      <w:proofErr w:type="spellEnd"/>
      <w:r w:rsidR="007E33FD">
        <w:t xml:space="preserve"> et al. 2019</w:t>
      </w:r>
      <w:r w:rsidR="00035BD8">
        <w:t>).</w:t>
      </w:r>
      <w:r w:rsidR="00F12933">
        <w:t xml:space="preserve"> Yoga can be seen as a combination of physical activity with stress reduction.</w:t>
      </w:r>
    </w:p>
    <w:p w14:paraId="2C742EF6" w14:textId="745F8254" w:rsidR="001210F8" w:rsidRDefault="00827BFD" w:rsidP="00D14910">
      <w:pPr>
        <w:spacing w:line="480" w:lineRule="auto"/>
      </w:pPr>
      <w:r>
        <w:rPr>
          <w:color w:val="000000"/>
          <w:shd w:val="clear" w:color="auto" w:fill="FFFFFF"/>
        </w:rPr>
        <w:t xml:space="preserve"> </w:t>
      </w:r>
    </w:p>
    <w:p w14:paraId="0F17B7B2" w14:textId="3028FE70" w:rsidR="003B6070" w:rsidRPr="003B6070" w:rsidRDefault="003B6070" w:rsidP="00D14910">
      <w:pPr>
        <w:spacing w:line="480" w:lineRule="auto"/>
        <w:rPr>
          <w:i/>
          <w:iCs/>
        </w:rPr>
      </w:pPr>
      <w:r w:rsidRPr="003B6070">
        <w:rPr>
          <w:i/>
          <w:iCs/>
        </w:rPr>
        <w:t>Stress, Inflammation, and PTSD Treatment</w:t>
      </w:r>
    </w:p>
    <w:p w14:paraId="5A8DF22B" w14:textId="4447A635" w:rsidR="001210F8" w:rsidRPr="00D149C7" w:rsidRDefault="001210F8" w:rsidP="00D149C7">
      <w:pPr>
        <w:pStyle w:val="Default"/>
        <w:spacing w:line="480" w:lineRule="auto"/>
        <w:rPr>
          <w:rFonts w:ascii="Times New Roman" w:hAnsi="Times New Roman" w:cs="Times New Roman"/>
        </w:rPr>
      </w:pPr>
      <w:r>
        <w:rPr>
          <w:rFonts w:ascii="Times New Roman" w:hAnsi="Times New Roman" w:cs="Times New Roman"/>
        </w:rPr>
        <w:t>To mitigate these negative consequences</w:t>
      </w:r>
      <w:r w:rsidR="003B6070">
        <w:rPr>
          <w:rFonts w:ascii="Times New Roman" w:hAnsi="Times New Roman" w:cs="Times New Roman"/>
        </w:rPr>
        <w:t xml:space="preserve"> of </w:t>
      </w:r>
      <w:r w:rsidR="00F12933">
        <w:rPr>
          <w:rFonts w:ascii="Times New Roman" w:hAnsi="Times New Roman" w:cs="Times New Roman"/>
        </w:rPr>
        <w:t xml:space="preserve">chronic </w:t>
      </w:r>
      <w:r w:rsidR="003B6070">
        <w:rPr>
          <w:rFonts w:ascii="Times New Roman" w:hAnsi="Times New Roman" w:cs="Times New Roman"/>
        </w:rPr>
        <w:t>stress</w:t>
      </w:r>
      <w:r>
        <w:rPr>
          <w:rFonts w:ascii="Times New Roman" w:hAnsi="Times New Roman" w:cs="Times New Roman"/>
        </w:rPr>
        <w:t xml:space="preserve">, many clinicians have turned to </w:t>
      </w:r>
      <w:r w:rsidR="00680B4B">
        <w:rPr>
          <w:rFonts w:ascii="Times New Roman" w:hAnsi="Times New Roman" w:cs="Times New Roman"/>
        </w:rPr>
        <w:t xml:space="preserve">stress managing techniques such as open-monitoring mediations </w:t>
      </w:r>
      <w:r>
        <w:rPr>
          <w:rFonts w:ascii="Times New Roman" w:hAnsi="Times New Roman" w:cs="Times New Roman"/>
        </w:rPr>
        <w:t xml:space="preserve">(often synonymous with </w:t>
      </w:r>
      <w:r w:rsidR="002410CA">
        <w:rPr>
          <w:rFonts w:ascii="Times New Roman" w:hAnsi="Times New Roman" w:cs="Times New Roman"/>
        </w:rPr>
        <w:t>t</w:t>
      </w:r>
      <w:r>
        <w:rPr>
          <w:rFonts w:ascii="Times New Roman" w:hAnsi="Times New Roman" w:cs="Times New Roman"/>
        </w:rPr>
        <w:t xml:space="preserve">ranscendental </w:t>
      </w:r>
      <w:r w:rsidR="002410CA">
        <w:rPr>
          <w:rFonts w:ascii="Times New Roman" w:hAnsi="Times New Roman" w:cs="Times New Roman"/>
        </w:rPr>
        <w:t>m</w:t>
      </w:r>
      <w:r>
        <w:rPr>
          <w:rFonts w:ascii="Times New Roman" w:hAnsi="Times New Roman" w:cs="Times New Roman"/>
        </w:rPr>
        <w:t xml:space="preserve">editation) which involves </w:t>
      </w:r>
      <w:r w:rsidRPr="00134BF8">
        <w:rPr>
          <w:rFonts w:ascii="Times New Roman" w:eastAsia="Times New Roman" w:hAnsi="Times New Roman" w:cs="Times New Roman"/>
        </w:rPr>
        <w:t>paying attention to</w:t>
      </w:r>
      <w:r>
        <w:rPr>
          <w:rFonts w:ascii="Times New Roman" w:eastAsia="Times New Roman" w:hAnsi="Times New Roman" w:cs="Times New Roman"/>
        </w:rPr>
        <w:t xml:space="preserve"> a persons’</w:t>
      </w:r>
      <w:r w:rsidRPr="00134BF8">
        <w:rPr>
          <w:rFonts w:ascii="Times New Roman" w:eastAsia="Times New Roman" w:hAnsi="Times New Roman" w:cs="Times New Roman"/>
        </w:rPr>
        <w:t xml:space="preserve"> thoughts, feelings, and</w:t>
      </w:r>
      <w:r>
        <w:rPr>
          <w:rFonts w:ascii="Times New Roman" w:eastAsia="Times New Roman" w:hAnsi="Times New Roman" w:cs="Times New Roman"/>
        </w:rPr>
        <w:t xml:space="preserve"> their bodily</w:t>
      </w:r>
      <w:r w:rsidRPr="00134BF8">
        <w:rPr>
          <w:rFonts w:ascii="Times New Roman" w:eastAsia="Times New Roman" w:hAnsi="Times New Roman" w:cs="Times New Roman"/>
        </w:rPr>
        <w:t xml:space="preserve"> sensations as they arise, without</w:t>
      </w:r>
      <w:r>
        <w:rPr>
          <w:rFonts w:ascii="Times New Roman" w:eastAsia="Times New Roman" w:hAnsi="Times New Roman" w:cs="Times New Roman"/>
        </w:rPr>
        <w:t xml:space="preserve"> any form of</w:t>
      </w:r>
      <w:r w:rsidRPr="00134BF8">
        <w:rPr>
          <w:rFonts w:ascii="Times New Roman" w:eastAsia="Times New Roman" w:hAnsi="Times New Roman" w:cs="Times New Roman"/>
        </w:rPr>
        <w:t xml:space="preserve"> judgment</w:t>
      </w:r>
      <w:r>
        <w:rPr>
          <w:rFonts w:ascii="Times New Roman" w:eastAsia="Times New Roman" w:hAnsi="Times New Roman" w:cs="Times New Roman"/>
        </w:rPr>
        <w:t xml:space="preserve"> </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ADDIN ZOTERO_ITEM CSL_CITATION {"citationID":"BYR2dx7f","properties":{"formattedCitation":"(Barnes et al. 2016; Hilton et al. 2017)","plainCitation":"(Barnes et al. 2016; Hilton et al. 2017)","noteIndex":0},"citationItems":[{"id":667,"uris":["http://zotero.org/users/local/wdQKiz3s/items/DLLCGWC3"],"uri":["http://zotero.org/users/local/wdQKiz3s/items/DLLCGWC3"],"itemData":{"id":667,"type":"article-journal","abstract":"The purpose of the study was to determine whether the regular practice of Transcendental Meditation (TM) decreased the need for psychotropic medications required for anxiety and post-traumatic stress disorder (PTSD) management and increased psychological wellbeing. The sample included 74 military Service Members with documented PTSD or anxiety disorder not otherwise specified (ADNOS), 37 that practiced TM and 37 that did not. At 1 month, 83.7% of the TM group stabilized, decreased, or ceased medications and 10.8% increased medication dosage; compared with 59.4% of controls that showed stabilizations, decreases, or cessations; and 40.5% that increased medications (p &amp;lt; 0.03). A similar pattern was observed after 2 (p &amp;lt; 0.27), 3 (p &amp;lt; 0.002), and 6 months (p &amp;lt; 0.34). Notably, there was a 20.5% difference between groups in severity of psychological symptoms after 6 months, that is, the control group experienced an increase in symptom severity compared with the group practicing TM. These findings provide insight into the benefits of TM as a viable treatment modality in military treatment facilities for reducing PTSD and ADNOS psychological symptoms and associated medication use.","container-title":"Military Medicine","DOI":"10.7205/MILMED-D-14-00333","ISSN":"0026-4075","issue":"1","journalAbbreviation":"Military Medicine","page":"56-63","source":"Silverchair","title":"Impact of Transcendental Meditation on Psychotropic Medication Use Among Active Duty Military Service Members With Anxiety and PTSD","volume":"181","author":[{"family":"Barnes","given":"Vernon A."},{"family":"Monto","given":"Andrea"},{"family":"Williams","given":"Jennifer J."},{"family":"Rigg","given":"John L."}],"issued":{"date-parts":[["2016",1,1]]}}},{"id":666,"uris":["http://zotero.org/users/local/wdQKiz3s/items/FDJGGJP5"],"uri":["http://zotero.org/users/local/wdQKiz3s/items/FDJGGJP5"],"itemData":{"id":666,"type":"article-journal","abstract":"Objective: We conducted a systematic review and meta-analysis that synthesized evidence from randomized controlled trials of meditation interventions to provide estimates of their efficacy and safety in treating adults diagnosed with posttraumatic stress disorder (PTSD). This review was based on an established protocol (PROSPERO: CRD42015025782) and is reported according to PRISMA guidelines. Outcomes of interest included PTSD symptoms, depression, anxiety, health-related quality of life, functional status, and adverse events. Method: Meta-analyses were conducted using the Hartung-KnappSidik-Jonkman method for random-effects models. Quality of evidence was assessed using the Grade of Recommendations Assessment, Development, and Evaluation (GRADE) approach. Results: In total, 10 trials on meditation interventions for PTSD with 643 participants met inclusion criteria. Across interventions, adjunctive meditation interventions of mindfulness-based stress reduction, yoga, and the mantram repetition program improve PTSD and depression symptoms compared with control groups, but the findings are based on low and moderate quality of evidence. Effects were positive but not statistically significant for quality of life and anxiety, and no studies addressed functional status. The variety of meditation intervention types, the short follow-up times, and the quality of studies limited analyses. No adverse events were reported in the included studies; only half of the studies reported on safety. Conclusions: Meditation appears to be effective for PTSD and depression symptoms, but in order to increase confidence in findings, more high-quality studies are needed on meditation as adjunctive treatment with PTSD-diagnosed participant samples large enough to detect statistical differences in outcomes.","container-title":"Psychological Trauma: Theory, Research, Practice, and Policy","DOI":"10.1037/tra0000180","ISSN":"1942-969X, 1942-9681","issue":"4","journalAbbreviation":"Psychological Trauma: Theory, Research, Practice, and Policy","language":"en","page":"453-460","source":"DOI.org (Crossref)","title":"Meditation for posttraumatic stress: Systematic review and meta-analysis.","title-short":"Meditation for posttraumatic stress","volume":"9","author":[{"family":"Hilton","given":"Lara"},{"family":"Maher","given":"Alicia Ruelaz"},{"family":"Colaiaco","given":"Benjamin"},{"family":"Apaydin","given":"Eric"},{"family":"Sorbero","given":"Melony E."},{"family":"Booth","given":"Marika"},{"family":"Shanman","given":"Roberta M."},{"family":"Hempel","given":"Susanne"}],"issued":{"date-parts":[["2017",7]]}}}],"schema":"https://github.com/citation-style-language/schema/raw/master/csl-citation.json"} </w:instrText>
      </w:r>
      <w:r>
        <w:rPr>
          <w:rFonts w:ascii="Times New Roman" w:eastAsia="Times New Roman" w:hAnsi="Times New Roman" w:cs="Times New Roman"/>
        </w:rPr>
        <w:fldChar w:fldCharType="separate"/>
      </w:r>
      <w:r>
        <w:rPr>
          <w:rFonts w:ascii="Times New Roman" w:eastAsia="Times New Roman" w:hAnsi="Times New Roman" w:cs="Times New Roman"/>
          <w:noProof/>
        </w:rPr>
        <w:t>(Barnes et al. 2016; Hilton et al. 2017)</w:t>
      </w:r>
      <w:r>
        <w:rPr>
          <w:rFonts w:ascii="Times New Roman" w:eastAsia="Times New Roman" w:hAnsi="Times New Roman" w:cs="Times New Roman"/>
        </w:rPr>
        <w:fldChar w:fldCharType="end"/>
      </w:r>
      <w:r>
        <w:rPr>
          <w:rFonts w:ascii="Times New Roman" w:eastAsia="Times New Roman" w:hAnsi="Times New Roman" w:cs="Times New Roman"/>
        </w:rPr>
        <w:t xml:space="preserve">. This introduces a sense of self-awareness to PTSD patients and in some cases lowered their dependence on prescription medications. </w:t>
      </w:r>
      <w:r w:rsidR="009216B8">
        <w:rPr>
          <w:rFonts w:ascii="Times New Roman" w:eastAsia="Times New Roman" w:hAnsi="Times New Roman" w:cs="Times New Roman"/>
        </w:rPr>
        <w:t xml:space="preserve">Some evidence is also available </w:t>
      </w:r>
      <w:r w:rsidR="00964DA5">
        <w:rPr>
          <w:rFonts w:ascii="Times New Roman" w:eastAsia="Times New Roman" w:hAnsi="Times New Roman" w:cs="Times New Roman"/>
        </w:rPr>
        <w:t xml:space="preserve"> </w:t>
      </w:r>
      <w:r w:rsidR="00FF49F6">
        <w:rPr>
          <w:rFonts w:ascii="Times New Roman" w:eastAsia="Times New Roman" w:hAnsi="Times New Roman" w:cs="Times New Roman"/>
        </w:rPr>
        <w:t>that mindfulness therapy ameliorates chronic inflammation in PTSD patients</w:t>
      </w:r>
      <w:r w:rsidR="008C1FA8">
        <w:rPr>
          <w:rFonts w:ascii="Times New Roman" w:eastAsia="Times New Roman" w:hAnsi="Times New Roman" w:cs="Times New Roman"/>
        </w:rPr>
        <w:t xml:space="preserve"> (</w:t>
      </w:r>
      <w:r w:rsidR="0008009C">
        <w:rPr>
          <w:rFonts w:ascii="Times New Roman" w:eastAsia="Times New Roman" w:hAnsi="Times New Roman" w:cs="Times New Roman"/>
        </w:rPr>
        <w:t xml:space="preserve">Gallegos et al. </w:t>
      </w:r>
      <w:r w:rsidR="00744479">
        <w:rPr>
          <w:rFonts w:ascii="Times New Roman" w:eastAsia="Times New Roman" w:hAnsi="Times New Roman" w:cs="Times New Roman"/>
        </w:rPr>
        <w:t>2015)</w:t>
      </w:r>
      <w:r w:rsidR="00B92698">
        <w:rPr>
          <w:rFonts w:ascii="Times New Roman" w:eastAsia="Times New Roman" w:hAnsi="Times New Roman" w:cs="Times New Roman"/>
        </w:rPr>
        <w:t xml:space="preserve">, and it would be worthwhile to conduct more </w:t>
      </w:r>
      <w:r w:rsidR="00803801">
        <w:rPr>
          <w:rFonts w:ascii="Times New Roman" w:eastAsia="Times New Roman" w:hAnsi="Times New Roman" w:cs="Times New Roman"/>
        </w:rPr>
        <w:t>research on</w:t>
      </w:r>
      <w:r w:rsidR="00B92698">
        <w:rPr>
          <w:rFonts w:ascii="Times New Roman" w:eastAsia="Times New Roman" w:hAnsi="Times New Roman" w:cs="Times New Roman"/>
        </w:rPr>
        <w:t xml:space="preserve"> t</w:t>
      </w:r>
      <w:r w:rsidR="00803801">
        <w:rPr>
          <w:rFonts w:ascii="Times New Roman" w:eastAsia="Times New Roman" w:hAnsi="Times New Roman" w:cs="Times New Roman"/>
        </w:rPr>
        <w:t>his topic in the future.</w:t>
      </w:r>
    </w:p>
    <w:p w14:paraId="5037F0F9" w14:textId="021766B5" w:rsidR="00DD4E76" w:rsidRDefault="00DD4E76" w:rsidP="007A1D40">
      <w:pPr>
        <w:spacing w:line="480" w:lineRule="auto"/>
        <w:rPr>
          <w:i/>
          <w:iCs/>
        </w:rPr>
      </w:pPr>
    </w:p>
    <w:p w14:paraId="56CBD970" w14:textId="2ECFC7A7" w:rsidR="009B0F41" w:rsidRDefault="009B0F41" w:rsidP="007A1D40">
      <w:pPr>
        <w:spacing w:line="480" w:lineRule="auto"/>
        <w:rPr>
          <w:i/>
          <w:iCs/>
        </w:rPr>
      </w:pPr>
      <w:r>
        <w:rPr>
          <w:i/>
          <w:iCs/>
        </w:rPr>
        <w:t>Electro</w:t>
      </w:r>
      <w:r w:rsidR="008D2B0D">
        <w:rPr>
          <w:i/>
          <w:iCs/>
        </w:rPr>
        <w:t>therapies, Inflammation, and PTSD Treatment</w:t>
      </w:r>
    </w:p>
    <w:p w14:paraId="1D742C16" w14:textId="77777777" w:rsidR="008D2B0D" w:rsidRDefault="008D2B0D" w:rsidP="007A1D40">
      <w:pPr>
        <w:spacing w:line="480" w:lineRule="auto"/>
        <w:rPr>
          <w:i/>
          <w:iCs/>
        </w:rPr>
      </w:pPr>
    </w:p>
    <w:p w14:paraId="5A8FDBF1" w14:textId="1AFE08A2" w:rsidR="002725ED" w:rsidRDefault="002725ED" w:rsidP="007A1D40">
      <w:pPr>
        <w:spacing w:line="480" w:lineRule="auto"/>
        <w:rPr>
          <w:i/>
          <w:iCs/>
        </w:rPr>
      </w:pPr>
      <w:r>
        <w:rPr>
          <w:i/>
          <w:iCs/>
        </w:rPr>
        <w:t xml:space="preserve">Transcranial </w:t>
      </w:r>
      <w:r w:rsidR="008D2B0D">
        <w:rPr>
          <w:i/>
          <w:iCs/>
        </w:rPr>
        <w:t>M</w:t>
      </w:r>
      <w:r>
        <w:rPr>
          <w:i/>
          <w:iCs/>
        </w:rPr>
        <w:t xml:space="preserve">agnetic </w:t>
      </w:r>
      <w:r w:rsidR="008D2B0D">
        <w:rPr>
          <w:i/>
          <w:iCs/>
        </w:rPr>
        <w:t>S</w:t>
      </w:r>
      <w:r>
        <w:rPr>
          <w:i/>
          <w:iCs/>
        </w:rPr>
        <w:t xml:space="preserve">timulation </w:t>
      </w:r>
    </w:p>
    <w:p w14:paraId="7E574E29" w14:textId="77777777" w:rsidR="002725ED" w:rsidRPr="00447517" w:rsidRDefault="002725ED" w:rsidP="007A1D40">
      <w:pPr>
        <w:spacing w:line="480" w:lineRule="auto"/>
        <w:rPr>
          <w:i/>
          <w:iCs/>
          <w:color w:val="000000"/>
          <w:shd w:val="clear" w:color="auto" w:fill="FFFFFF"/>
        </w:rPr>
      </w:pPr>
    </w:p>
    <w:p w14:paraId="0D24670A" w14:textId="02D61595" w:rsidR="00DD4E76" w:rsidRPr="00801930" w:rsidRDefault="000E26E9" w:rsidP="007A1D40">
      <w:pPr>
        <w:autoSpaceDE w:val="0"/>
        <w:autoSpaceDN w:val="0"/>
        <w:adjustRightInd w:val="0"/>
        <w:spacing w:line="480" w:lineRule="auto"/>
        <w:rPr>
          <w:color w:val="131413"/>
        </w:rPr>
      </w:pPr>
      <w:r w:rsidRPr="00447517">
        <w:rPr>
          <w:color w:val="000000"/>
          <w:shd w:val="clear" w:color="auto" w:fill="FFFFFF"/>
        </w:rPr>
        <w:t>T</w:t>
      </w:r>
      <w:r w:rsidR="00DD4E76" w:rsidRPr="00447517">
        <w:rPr>
          <w:color w:val="000000"/>
          <w:shd w:val="clear" w:color="auto" w:fill="FFFFFF"/>
        </w:rPr>
        <w:t xml:space="preserve">ranscranial magnetic stimulation </w:t>
      </w:r>
      <w:r w:rsidRPr="00447517">
        <w:rPr>
          <w:color w:val="000000"/>
          <w:shd w:val="clear" w:color="auto" w:fill="FFFFFF"/>
        </w:rPr>
        <w:t xml:space="preserve">affects </w:t>
      </w:r>
      <w:r w:rsidR="00DD4E76" w:rsidRPr="00447517">
        <w:rPr>
          <w:color w:val="000000"/>
          <w:shd w:val="clear" w:color="auto" w:fill="FFFFFF"/>
        </w:rPr>
        <w:t xml:space="preserve">the neuron activity </w:t>
      </w:r>
      <w:r w:rsidR="007C05C8" w:rsidRPr="00447517">
        <w:rPr>
          <w:color w:val="000000"/>
          <w:shd w:val="clear" w:color="auto" w:fill="FFFFFF"/>
        </w:rPr>
        <w:fldChar w:fldCharType="begin"/>
      </w:r>
      <w:r w:rsidR="007C05C8" w:rsidRPr="00447517">
        <w:rPr>
          <w:color w:val="000000"/>
          <w:shd w:val="clear" w:color="auto" w:fill="FFFFFF"/>
        </w:rPr>
        <w:instrText xml:space="preserve"> ADDIN ZOTERO_ITEM CSL_CITATION {"citationID":"4yY4Pa1J","properties":{"formattedCitation":"(Isserles et al. 2013)","plainCitation":"(Isserles et al. 2013)","noteIndex":0},"citationItems":[{"id":775,"uris":["http://zotero.org/users/local/wdQKiz3s/items/PXEHIVEP"],"uri":["http://zotero.org/users/local/wdQKiz3s/items/PXEHIVEP"],"itemData":{"id":775,"type":"article-journal","abstract":"Background\nPost-traumatic stress disorder (PTSD) is a debilitating anxiety disorder induced by traumatic experiences. To date, psychotherapy and drug treatment achieve only partial success, indicating need for further development of treatment strategies. Recent research has found that impaired acquired fear extinction capability serves as an important factor at the pathogenesis of the disorder. Medial prefrontal cortex (mPFC) hypo-activity has been implicated in this extinction impairment, providing insight as to why some trauma exposed individuals will develop PTSD.\nObjective\nTo test whether fear extinction can be facilitated and therapeutic effect achieved by repeated mPFC deep transcranial magnetic stimulation (DTMS) of PTSD patients resistant to standard treatment.\nMethods\nIn a double-blind study, 30 PTSD patients were enrolled and randomly assigned into 3 treatment groups: A) DTMS after brief exposure to the traumatic event with the script-driven imagery procedure; B) DTMS after brief exposure to a non-traumatic event; C) sham stimulation after brief exposure to the traumatic event.\nResults\nSignificant improvement was demonstrated in the intrusive component of the CAPS scale in patients administered DTMS after exposure to the traumatic event script, while patients in the control groups showed no significant improvement. Similar trend was demonstrated in the Total-CAPS score as in the other rating scales. A significant reduction in the HR response to the traumatic script was evident in group A, further supporting the above results.\nConclusions\nCombining brief script-driven exposure with DTMS can induce therapeutic effects in PTSD patients. A wide multi-center study is suggested to substantiate these findings. Trial registration: ClinicalTrials.gov identifier: NCT00517400.","container-title":"Brain Stimulation","DOI":"10.1016/j.brs.2012.07.008","ISSN":"1935-861X","issue":"3","journalAbbreviation":"Brain Stimulation","language":"en","page":"377-383","source":"ScienceDirect","title":"Effectiveness of Deep Transcranial Magnetic Stimulation Combined with a Brief Exposure Procedure in Post-Traumatic Stress Disorder – A Pilot Study","volume":"6","author":[{"family":"Isserles","given":"Moshe"},{"family":"Shalev","given":"Arieh Y."},{"family":"Roth","given":"Yiftach"},{"family":"Peri","given":"Tuvia"},{"family":"Kutz","given":"Ilan"},{"family":"Zlotnick","given":"Elad"},{"family":"Zangen","given":"Abraham"}],"issued":{"date-parts":[["2013",5,1]]}}}],"schema":"https://github.com/citation-style-language/schema/raw/master/csl-citation.json"} </w:instrText>
      </w:r>
      <w:r w:rsidR="007C05C8" w:rsidRPr="00447517">
        <w:rPr>
          <w:color w:val="000000"/>
          <w:shd w:val="clear" w:color="auto" w:fill="FFFFFF"/>
        </w:rPr>
        <w:fldChar w:fldCharType="separate"/>
      </w:r>
      <w:r w:rsidR="007C05C8" w:rsidRPr="00447517">
        <w:rPr>
          <w:noProof/>
          <w:color w:val="000000"/>
          <w:shd w:val="clear" w:color="auto" w:fill="FFFFFF"/>
        </w:rPr>
        <w:t>(Isserles et al. 2013)</w:t>
      </w:r>
      <w:r w:rsidR="007C05C8" w:rsidRPr="00447517">
        <w:rPr>
          <w:color w:val="000000"/>
          <w:shd w:val="clear" w:color="auto" w:fill="FFFFFF"/>
        </w:rPr>
        <w:fldChar w:fldCharType="end"/>
      </w:r>
      <w:r w:rsidR="007C05C8" w:rsidRPr="00447517">
        <w:rPr>
          <w:color w:val="000000"/>
          <w:shd w:val="clear" w:color="auto" w:fill="FFFFFF"/>
        </w:rPr>
        <w:t xml:space="preserve"> </w:t>
      </w:r>
      <w:r w:rsidR="00997F09" w:rsidRPr="00447517">
        <w:rPr>
          <w:color w:val="000000"/>
          <w:shd w:val="clear" w:color="auto" w:fill="FFFFFF"/>
        </w:rPr>
        <w:t xml:space="preserve">and may have benefits in people </w:t>
      </w:r>
      <w:r w:rsidR="00DD4E76" w:rsidRPr="00447517">
        <w:rPr>
          <w:color w:val="000000"/>
          <w:shd w:val="clear" w:color="auto" w:fill="FFFFFF"/>
        </w:rPr>
        <w:t xml:space="preserve">suffering from depressive disorders as a result of PTSD. Transcranial magnetic </w:t>
      </w:r>
      <w:r w:rsidR="00DD4E76" w:rsidRPr="00447517">
        <w:rPr>
          <w:color w:val="000000"/>
          <w:shd w:val="clear" w:color="auto" w:fill="FFFFFF"/>
        </w:rPr>
        <w:lastRenderedPageBreak/>
        <w:t xml:space="preserve">stimulation </w:t>
      </w:r>
      <w:r w:rsidR="00F964F7" w:rsidRPr="00447517">
        <w:rPr>
          <w:color w:val="000000"/>
          <w:shd w:val="clear" w:color="auto" w:fill="FFFFFF"/>
        </w:rPr>
        <w:t>i</w:t>
      </w:r>
      <w:r w:rsidR="00DD4E76" w:rsidRPr="00447517">
        <w:rPr>
          <w:color w:val="000000"/>
          <w:shd w:val="clear" w:color="auto" w:fill="FFFFFF"/>
        </w:rPr>
        <w:t>s a</w:t>
      </w:r>
      <w:r w:rsidR="00DD4E76" w:rsidRPr="00801930">
        <w:rPr>
          <w:color w:val="131413"/>
        </w:rPr>
        <w:t xml:space="preserve"> noninvasive </w:t>
      </w:r>
      <w:proofErr w:type="spellStart"/>
      <w:r w:rsidR="00DD4E76" w:rsidRPr="00801930">
        <w:rPr>
          <w:color w:val="131413"/>
        </w:rPr>
        <w:t>neuromodulatory</w:t>
      </w:r>
      <w:proofErr w:type="spellEnd"/>
      <w:r w:rsidR="00DD4E76" w:rsidRPr="00801930">
        <w:rPr>
          <w:color w:val="131413"/>
        </w:rPr>
        <w:t xml:space="preserve"> technique</w:t>
      </w:r>
      <w:r w:rsidR="00F964F7">
        <w:rPr>
          <w:color w:val="131413"/>
        </w:rPr>
        <w:t xml:space="preserve"> that</w:t>
      </w:r>
      <w:r w:rsidR="00DD4E76">
        <w:rPr>
          <w:color w:val="131413"/>
        </w:rPr>
        <w:t xml:space="preserve"> </w:t>
      </w:r>
      <w:r w:rsidR="00DD4E76" w:rsidRPr="00801930">
        <w:rPr>
          <w:color w:val="131413"/>
        </w:rPr>
        <w:t xml:space="preserve">uses electromagnetic fields to </w:t>
      </w:r>
      <w:r w:rsidR="00DD4E76">
        <w:rPr>
          <w:color w:val="131413"/>
        </w:rPr>
        <w:t xml:space="preserve">alter the </w:t>
      </w:r>
      <w:r w:rsidR="00DD4E76" w:rsidRPr="00801930">
        <w:rPr>
          <w:color w:val="131413"/>
        </w:rPr>
        <w:t xml:space="preserve">local electrical activity and </w:t>
      </w:r>
      <w:r w:rsidR="00DD4E76">
        <w:rPr>
          <w:color w:val="131413"/>
        </w:rPr>
        <w:t xml:space="preserve">replace </w:t>
      </w:r>
      <w:r w:rsidR="00DD4E76" w:rsidRPr="00801930">
        <w:rPr>
          <w:color w:val="131413"/>
        </w:rPr>
        <w:t>neuronal firing patterns</w:t>
      </w:r>
      <w:r w:rsidR="00B851C6">
        <w:rPr>
          <w:color w:val="131413"/>
        </w:rPr>
        <w:t xml:space="preserve">, and produce, </w:t>
      </w:r>
      <w:r w:rsidR="00DD4E76" w:rsidRPr="00801930">
        <w:rPr>
          <w:color w:val="131413"/>
        </w:rPr>
        <w:t>widespread connectivity modifications</w:t>
      </w:r>
      <w:r w:rsidR="00DD4E76">
        <w:rPr>
          <w:color w:val="131413"/>
        </w:rPr>
        <w:t xml:space="preserve"> </w:t>
      </w:r>
      <w:r w:rsidR="00DD4E76">
        <w:rPr>
          <w:color w:val="131413"/>
        </w:rPr>
        <w:fldChar w:fldCharType="begin"/>
      </w:r>
      <w:r w:rsidR="00DD4E76">
        <w:rPr>
          <w:color w:val="131413"/>
        </w:rPr>
        <w:instrText xml:space="preserve"> ADDIN ZOTERO_ITEM CSL_CITATION {"citationID":"GpTQBfCT","properties":{"formattedCitation":"(Gouveia et al. 2020 May 28)","plainCitation":"(Gouveia et al. 2020 May 28)","dontUpdate":true,"noteIndex":0},"citationItems":[{"id":307,"uris":["http://zotero.org/users/local/wdQKiz3s/items/NZ5VWV36"],"uri":["http://zotero.org/users/local/wdQKiz3s/items/NZ5VWV36"],"itemData":{"id":307,"type":"article-journal","abstract":"Post-traumatic stress disorder (PTSD) is a prevalent and debilitating illness. While standard treatment with pharmacotherapy and psychotherapy may be effective, approximately 20 to 30% of patients remain symptomatic. These individuals experience depression, anxiety, and elevated rates of suicide. For treatment-resistant patients, there is a growing interest in the use of neuromodulation therapies, including transcranial magnetic stimulation (TMS), transcranial direct current stimulation (tDCS), and deep brain stimulation (DBS). We conducted a systematic review on the use of neuromodulation strategies for PTSD and pooled 13 randomized clinical trials (RCTs), 11 case series, and 6 case reports for analysis. Overall, most studies reported favorable outcomes in alleviating both PTSD and depressive symptoms. Although several RCTs described significant differences when active and sham stimulations were compared, others found marginal or nonsignificant differences between groups. Also positive were studies comparing PTSD symptoms before and after treatment. The side effect profile with all 3 modalities was found to be low, with mostly mild adverse events being reported. Despite these encouraging data, several aspects remain unknown. Given that PTSD is a highly heterogeneous condition that can be accompanied by distinct psychiatric diagnoses, defining a unique treatment for this patient population can be quite challenging. There has also been considerable variation across trials regarding stimulation parameters, symptomatic response, and the role of adjunctive psychotherapy. Future studies are needed to address these issues.","container-title":"Neurotherapeutics","DOI":"10.1007/s13311-020-00871-0","ISSN":"1933-7213, 1878-7479","journalAbbreviation":"Neurotherapeutics","language":"en","source":"DOI.org (Crossref)","title":"Treating Post-traumatic Stress Disorder with Neuromodulation Therapies: Transcranial Magnetic Stimulation, Transcranial Direct Current Stimulation, and Deep Brain Stimulation","title-short":"Treating Post-traumatic Stress Disorder with Neuromodulation Therapies","URL":"http://link.springer.com/10.1007/s13311-020-00871-0","author":[{"family":"Gouveia","given":"Flavia Venetucci"},{"family":"Davidson","given":"Benjamin"},{"family":"Meng","given":"Ying"},{"family":"Gidyk","given":"Darryl Christopher"},{"family":"Rabin","given":"Jennifer S."},{"family":"Ng","given":"Enoch"},{"family":"Abrahao","given":"Agessandro"},{"family":"Lipsman","given":"Nir"},{"family":"Giacobbe","given":"Peter"},{"family":"Hamani","given":"Clement"}],"accessed":{"date-parts":[["2020",6,26]]},"issued":{"date-parts":[["2020",5,28]]}}}],"schema":"https://github.com/citation-style-language/schema/raw/master/csl-citation.json"} </w:instrText>
      </w:r>
      <w:r w:rsidR="00DD4E76">
        <w:rPr>
          <w:color w:val="131413"/>
        </w:rPr>
        <w:fldChar w:fldCharType="separate"/>
      </w:r>
      <w:r w:rsidR="00DD4E76">
        <w:rPr>
          <w:noProof/>
          <w:color w:val="131413"/>
        </w:rPr>
        <w:t>(Gouveia et al. 2020)</w:t>
      </w:r>
      <w:r w:rsidR="00DD4E76">
        <w:rPr>
          <w:color w:val="131413"/>
        </w:rPr>
        <w:fldChar w:fldCharType="end"/>
      </w:r>
      <w:r w:rsidR="00DD4E76">
        <w:rPr>
          <w:color w:val="131413"/>
        </w:rPr>
        <w:t xml:space="preserve">. Although this method is relatively new and understudied, it is </w:t>
      </w:r>
      <w:r w:rsidR="0015002B">
        <w:rPr>
          <w:color w:val="131413"/>
        </w:rPr>
        <w:t>thought</w:t>
      </w:r>
      <w:r w:rsidR="00DD4E76">
        <w:rPr>
          <w:color w:val="131413"/>
        </w:rPr>
        <w:t xml:space="preserve"> that the high frequency magnetic vibrations </w:t>
      </w:r>
      <w:r w:rsidR="00B851C6">
        <w:rPr>
          <w:color w:val="131413"/>
        </w:rPr>
        <w:t>may</w:t>
      </w:r>
      <w:r w:rsidR="00DD4E76">
        <w:rPr>
          <w:color w:val="131413"/>
        </w:rPr>
        <w:t xml:space="preserve"> restore neur</w:t>
      </w:r>
      <w:r w:rsidR="002410CA">
        <w:rPr>
          <w:color w:val="131413"/>
        </w:rPr>
        <w:t xml:space="preserve">onal function </w:t>
      </w:r>
      <w:r w:rsidR="00EE09A8">
        <w:rPr>
          <w:color w:val="131413"/>
        </w:rPr>
        <w:t>in</w:t>
      </w:r>
      <w:r w:rsidR="00DD4E76">
        <w:rPr>
          <w:color w:val="131413"/>
        </w:rPr>
        <w:t xml:space="preserve"> areas of the brain affected by HPA-axis dysregulation</w:t>
      </w:r>
      <w:r w:rsidR="0015002B">
        <w:rPr>
          <w:color w:val="131413"/>
        </w:rPr>
        <w:t xml:space="preserve"> </w:t>
      </w:r>
      <w:r w:rsidR="0015002B">
        <w:rPr>
          <w:color w:val="131413"/>
        </w:rPr>
        <w:fldChar w:fldCharType="begin"/>
      </w:r>
      <w:r w:rsidR="004A60A8">
        <w:rPr>
          <w:color w:val="131413"/>
        </w:rPr>
        <w:instrText xml:space="preserve"> ADDIN ZOTERO_ITEM CSL_CITATION {"citationID":"an7zfmMo","properties":{"formattedCitation":"(Isserles et al. 2013)","plainCitation":"(Isserles et al. 2013)","noteIndex":0},"citationItems":[{"id":775,"uris":["http://zotero.org/users/local/wdQKiz3s/items/PXEHIVEP"],"uri":["http://zotero.org/users/local/wdQKiz3s/items/PXEHIVEP"],"itemData":{"id":775,"type":"article-journal","abstract":"Background\nPost-traumatic stress disorder (PTSD) is a debilitating anxiety disorder induced by traumatic experiences. To date, psychotherapy and drug treatment achieve only partial success, indicating need for further development of treatment strategies. Recent research has found that impaired acquired fear extinction capability serves as an important factor at the pathogenesis of the disorder. Medial prefrontal cortex (mPFC) hypo-activity has been implicated in this extinction impairment, providing insight as to why some trauma exposed individuals will develop PTSD.\nObjective\nTo test whether fear extinction can be facilitated and therapeutic effect achieved by repeated mPFC deep transcranial magnetic stimulation (DTMS) of PTSD patients resistant to standard treatment.\nMethods\nIn a double-blind study, 30 PTSD patients were enrolled and randomly assigned into 3 treatment groups: A) DTMS after brief exposure to the traumatic event with the script-driven imagery procedure; B) DTMS after brief exposure to a non-traumatic event; C) sham stimulation after brief exposure to the traumatic event.\nResults\nSignificant improvement was demonstrated in the intrusive component of the CAPS scale in patients administered DTMS after exposure to the traumatic event script, while patients in the control groups showed no significant improvement. Similar trend was demonstrated in the Total-CAPS score as in the other rating scales. A significant reduction in the HR response to the traumatic script was evident in group A, further supporting the above results.\nConclusions\nCombining brief script-driven exposure with DTMS can induce therapeutic effects in PTSD patients. A wide multi-center study is suggested to substantiate these findings. Trial registration: ClinicalTrials.gov identifier: NCT00517400.","container-title":"Brain Stimulation","DOI":"10.1016/j.brs.2012.07.008","ISSN":"1935-861X","issue":"3","journalAbbreviation":"Brain Stimulation","language":"en","page":"377-383","source":"ScienceDirect","title":"Effectiveness of Deep Transcranial Magnetic Stimulation Combined with a Brief Exposure Procedure in Post-Traumatic Stress Disorder – A Pilot Study","volume":"6","author":[{"family":"Isserles","given":"Moshe"},{"family":"Shalev","given":"Arieh Y."},{"family":"Roth","given":"Yiftach"},{"family":"Peri","given":"Tuvia"},{"family":"Kutz","given":"Ilan"},{"family":"Zlotnick","given":"Elad"},{"family":"Zangen","given":"Abraham"}],"issued":{"date-parts":[["2013",5,1]]}}}],"schema":"https://github.com/citation-style-language/schema/raw/master/csl-citation.json"} </w:instrText>
      </w:r>
      <w:r w:rsidR="0015002B">
        <w:rPr>
          <w:color w:val="131413"/>
        </w:rPr>
        <w:fldChar w:fldCharType="separate"/>
      </w:r>
      <w:r w:rsidR="004A60A8">
        <w:rPr>
          <w:noProof/>
          <w:color w:val="131413"/>
        </w:rPr>
        <w:t>(Isserles et al. 2013)</w:t>
      </w:r>
      <w:r w:rsidR="0015002B">
        <w:rPr>
          <w:color w:val="131413"/>
        </w:rPr>
        <w:fldChar w:fldCharType="end"/>
      </w:r>
      <w:r w:rsidR="00DD4E76">
        <w:rPr>
          <w:color w:val="131413"/>
        </w:rPr>
        <w:t xml:space="preserve">. </w:t>
      </w:r>
    </w:p>
    <w:p w14:paraId="429E539A" w14:textId="765E6B6F" w:rsidR="00DD4E76" w:rsidRDefault="00DD4E76" w:rsidP="007A1D40">
      <w:pPr>
        <w:spacing w:line="480" w:lineRule="auto"/>
      </w:pPr>
    </w:p>
    <w:p w14:paraId="1F4C7AEF" w14:textId="650CF270" w:rsidR="002725ED" w:rsidRDefault="002725ED" w:rsidP="007A1D40">
      <w:pPr>
        <w:spacing w:line="480" w:lineRule="auto"/>
        <w:rPr>
          <w:i/>
          <w:iCs/>
        </w:rPr>
      </w:pPr>
      <w:r>
        <w:rPr>
          <w:i/>
          <w:iCs/>
        </w:rPr>
        <w:t xml:space="preserve">Electroacupuncture </w:t>
      </w:r>
    </w:p>
    <w:p w14:paraId="25DFECC1" w14:textId="77777777" w:rsidR="002725ED" w:rsidRPr="002725ED" w:rsidRDefault="002725ED" w:rsidP="007A1D40">
      <w:pPr>
        <w:spacing w:line="480" w:lineRule="auto"/>
        <w:rPr>
          <w:i/>
          <w:iCs/>
        </w:rPr>
      </w:pPr>
    </w:p>
    <w:p w14:paraId="580272AE" w14:textId="4334A2B7" w:rsidR="00DF097C" w:rsidRDefault="00DF097C" w:rsidP="007A1D40">
      <w:pPr>
        <w:spacing w:line="480" w:lineRule="auto"/>
      </w:pPr>
      <w:r>
        <w:t xml:space="preserve">Novel interventions like </w:t>
      </w:r>
      <w:r w:rsidR="00B851C6">
        <w:t>e</w:t>
      </w:r>
      <w:r>
        <w:t xml:space="preserve">lectroacupuncture have shown efficacy when used in conjunction </w:t>
      </w:r>
      <w:r w:rsidR="00B851C6">
        <w:t xml:space="preserve">with </w:t>
      </w:r>
      <w:r>
        <w:t xml:space="preserve">anti-inflammatory methods of treating PTSD. Electroacupuncture is a clinical therapy </w:t>
      </w:r>
      <w:r w:rsidR="00816B53">
        <w:t xml:space="preserve">that </w:t>
      </w:r>
      <w:r w:rsidR="00EE09A8">
        <w:t xml:space="preserve">increases BDNF levels, </w:t>
      </w:r>
      <w:r>
        <w:t>supports neurogenesis</w:t>
      </w:r>
      <w:r w:rsidR="005B5E79">
        <w:t xml:space="preserve">, </w:t>
      </w:r>
      <w:r>
        <w:t>reduc</w:t>
      </w:r>
      <w:r w:rsidR="005B5E79">
        <w:t>es</w:t>
      </w:r>
      <w:r>
        <w:t xml:space="preserve"> anxiety-related disorders associated with PTSD</w:t>
      </w:r>
      <w:r w:rsidR="005B5E79">
        <w:t>, and decreases systemic inflammation</w:t>
      </w:r>
      <w:r>
        <w:t xml:space="preserve"> </w:t>
      </w:r>
      <w:r>
        <w:fldChar w:fldCharType="begin"/>
      </w:r>
      <w:r>
        <w:instrText xml:space="preserve"> ADDIN ZOTERO_ITEM CSL_CITATION {"citationID":"s2wgcpHH","properties":{"formattedCitation":"(Zhou et al. 2019)","plainCitation":"(Zhou et al. 2019)","noteIndex":0},"citationItems":[{"id":687,"uris":["http://zotero.org/users/local/wdQKiz3s/items/9L2DM559"],"uri":["http://zotero.org/users/local/wdQKiz3s/items/9L2DM559"],"itemData":{"id":687,"type":"article-journal","abstract":"Electroacupuncture (EA) pretreatment is a clinically useful therapy for several brain disorders. However, whether and via which exact molecular mechanisms it ameliorates post-traumatic stress disorder (PTSD) remains unclear. In the present study, rats received EA stimulation for seven consecutive days before exposure to enhanced single prolonged stress (ESPS). Anxiety-like and fear learning behaviors; hippocampal neurogenesis; the expression of nuclear factor erythroid 2-related factor 2 (Nrf2), Kelch-like ECH-associated protein 1 (keap1), and heme oxygenase 1 (HO-1); and the activity of AMP-activated kinase (AMPK) were evaluated at 14 days after ESPS. EA pretreatment improved hippocampal neurogenesis and ameliorated anxiety-like behaviors in ESPS-treated rats. EA pretreatment also increased the expression of Nrf2 and HO-1 and the activity of AMPK. Furthermore, Nrf2 knockdown by a short hairpin RNA affected anxiety-like behaviors and expression of neuroprotective markers (BDNF, DCX) in a manner similar to ESPS alone and dampened the neuroprotective effects of EA pretreatment. In contrast, Keap1 knockdown increased the expression of HO-1, improved hippocampal neurogenesis, and alleviated PTSD-like behaviors. Altogether, our results suggest that EA pretreatment ameliorates ESPS-induced anxiety-like behaviors and prevents hippocampal neurogenesis disruption in a rat model of PTSD possibly through regulation of the keap1/Nrf2 antioxidant defense pathway.","container-title":"Frontiers in Cellular Neuroscience","DOI":"10.3389/fncel.2019.00275","ISSN":"1662-5102","journalAbbreviation":"Front. Cell. Neurosci.","language":"en","page":"275","source":"DOI.org (Crossref)","title":"Electroacupuncture Pretreatment Ameliorates PTSD-Like Behaviors in Rats by Enhancing Hippocampal Neurogenesis via the Keap1/Nrf2 Antioxidant Signaling Pathway","volume":"13","author":[{"family":"Zhou","given":"Cui-hong"},{"family":"Xue","given":"Fen"},{"family":"Xue","given":"Shan-shan"},{"family":"Sang","given":"Han-fei"},{"family":"Liu","given":"Ling"},{"family":"Wang","given":"Ying"},{"family":"Cai","given":"Min"},{"family":"Zhang","given":"Zhang-Jin"},{"family":"Tan","given":"Qing-rong"},{"family":"Wang","given":"Hua-ning"},{"family":"Peng","given":"Zheng-wu"}],"issued":{"date-parts":[["2019",6,21]]}}}],"schema":"https://github.com/citation-style-language/schema/raw/master/csl-citation.json"} </w:instrText>
      </w:r>
      <w:r>
        <w:fldChar w:fldCharType="separate"/>
      </w:r>
      <w:r>
        <w:rPr>
          <w:noProof/>
        </w:rPr>
        <w:t>(</w:t>
      </w:r>
      <w:r w:rsidR="00412903">
        <w:rPr>
          <w:noProof/>
        </w:rPr>
        <w:t xml:space="preserve">Li et al. 2019; </w:t>
      </w:r>
      <w:r>
        <w:rPr>
          <w:noProof/>
        </w:rPr>
        <w:t>Zhou et al. 2019)</w:t>
      </w:r>
      <w:r>
        <w:fldChar w:fldCharType="end"/>
      </w:r>
      <w:r>
        <w:t xml:space="preserve">. This intervention is invasive and </w:t>
      </w:r>
      <w:r w:rsidR="008F0F13">
        <w:t>was used in conjunction with</w:t>
      </w:r>
      <w:r>
        <w:t xml:space="preserve"> a minimum of 14</w:t>
      </w:r>
      <w:r w:rsidR="009E3086">
        <w:t>-</w:t>
      </w:r>
      <w:r>
        <w:t xml:space="preserve">day post-treatment supplementation with anti-inflammatory supplements </w:t>
      </w:r>
      <w:r w:rsidR="00D408EE">
        <w:t>such as</w:t>
      </w:r>
      <w:r>
        <w:t xml:space="preserve"> omega-3</w:t>
      </w:r>
      <w:r w:rsidR="009E3086">
        <w:t xml:space="preserve"> </w:t>
      </w:r>
      <w:r>
        <w:t xml:space="preserve">fatty acids and antioxidants </w:t>
      </w:r>
      <w:r w:rsidR="007F5D94">
        <w:t>(</w:t>
      </w:r>
      <w:proofErr w:type="spellStart"/>
      <w:r w:rsidR="00D7467D">
        <w:t>Alquraan</w:t>
      </w:r>
      <w:proofErr w:type="spellEnd"/>
      <w:r w:rsidR="00D7467D">
        <w:t xml:space="preserve"> et al. 2019; </w:t>
      </w:r>
      <w:r w:rsidR="007F5D94">
        <w:t>Zhou et al. 2019</w:t>
      </w:r>
      <w:r w:rsidR="00D7467D">
        <w:t>)</w:t>
      </w:r>
      <w:r>
        <w:t>.</w:t>
      </w:r>
      <w:r w:rsidR="009E3086">
        <w:t xml:space="preserve"> This intervention is very similar to the ketamine intervention </w:t>
      </w:r>
      <w:r w:rsidR="00E539D8">
        <w:t xml:space="preserve">in that </w:t>
      </w:r>
      <w:r w:rsidR="009E3086">
        <w:t xml:space="preserve">both </w:t>
      </w:r>
      <w:r w:rsidR="00E539D8">
        <w:t>i</w:t>
      </w:r>
      <w:r w:rsidR="009E3086">
        <w:t>ncrease BDNF growth factors</w:t>
      </w:r>
      <w:r w:rsidR="00A379E0">
        <w:t xml:space="preserve"> (Park and Poo 2013; Zhou et al. 2019)</w:t>
      </w:r>
      <w:r w:rsidR="006D0195">
        <w:t xml:space="preserve">. </w:t>
      </w:r>
      <w:r w:rsidR="009E3086">
        <w:t xml:space="preserve">Further </w:t>
      </w:r>
      <w:r w:rsidR="00C44FF8">
        <w:t xml:space="preserve">research attention </w:t>
      </w:r>
      <w:r w:rsidR="009E3086">
        <w:t xml:space="preserve">is needed </w:t>
      </w:r>
      <w:r w:rsidR="00C44FF8">
        <w:t>on this topic</w:t>
      </w:r>
      <w:r w:rsidR="009E3086">
        <w:t>.</w:t>
      </w:r>
    </w:p>
    <w:p w14:paraId="6DCC10A8" w14:textId="48A7E7E1" w:rsidR="00E44056" w:rsidRDefault="00E44056" w:rsidP="007A1D40">
      <w:pPr>
        <w:spacing w:line="480" w:lineRule="auto"/>
      </w:pPr>
    </w:p>
    <w:p w14:paraId="6C777D79" w14:textId="4209797A" w:rsidR="00E44056" w:rsidRPr="00E44056" w:rsidRDefault="00E44056" w:rsidP="007A1D40">
      <w:pPr>
        <w:spacing w:line="480" w:lineRule="auto"/>
        <w:rPr>
          <w:i/>
          <w:iCs/>
        </w:rPr>
      </w:pPr>
      <w:r>
        <w:rPr>
          <w:i/>
          <w:iCs/>
        </w:rPr>
        <w:t>Other Emerging Therapies</w:t>
      </w:r>
    </w:p>
    <w:p w14:paraId="74D51DE3" w14:textId="2F8D41C9" w:rsidR="00845F85" w:rsidRDefault="00845F85" w:rsidP="007A1D40">
      <w:pPr>
        <w:spacing w:line="480" w:lineRule="auto"/>
      </w:pPr>
    </w:p>
    <w:p w14:paraId="59219542" w14:textId="5C487C46" w:rsidR="00845F85" w:rsidRDefault="00845F85" w:rsidP="007A1D40">
      <w:pPr>
        <w:spacing w:line="480" w:lineRule="auto"/>
        <w:rPr>
          <w:i/>
          <w:iCs/>
        </w:rPr>
      </w:pPr>
      <w:r>
        <w:rPr>
          <w:i/>
          <w:iCs/>
        </w:rPr>
        <w:t>Virtual Reality Exposure</w:t>
      </w:r>
    </w:p>
    <w:p w14:paraId="68D1C184" w14:textId="77777777" w:rsidR="00A56DE9" w:rsidRDefault="00A56DE9" w:rsidP="007A1D40">
      <w:pPr>
        <w:spacing w:line="480" w:lineRule="auto"/>
      </w:pPr>
    </w:p>
    <w:p w14:paraId="63D47327" w14:textId="77267234" w:rsidR="00845F85" w:rsidRDefault="00A56DE9" w:rsidP="007A1D40">
      <w:pPr>
        <w:spacing w:line="480" w:lineRule="auto"/>
      </w:pPr>
      <w:r>
        <w:lastRenderedPageBreak/>
        <w:t xml:space="preserve">Virtual Reality (VR) technology </w:t>
      </w:r>
      <w:r w:rsidR="00A841AD">
        <w:t>integrates real-time computer graphics</w:t>
      </w:r>
      <w:r w:rsidR="00BB1660">
        <w:t xml:space="preserve">, visual displays, body tracking devices, and other sensory inputs to immerse the user </w:t>
      </w:r>
      <w:r w:rsidR="003C3D42">
        <w:t xml:space="preserve">into a computer-generated </w:t>
      </w:r>
      <w:r w:rsidR="00CC148F">
        <w:t>environment</w:t>
      </w:r>
      <w:r w:rsidR="00FB32B1">
        <w:t xml:space="preserve"> </w:t>
      </w:r>
      <w:r w:rsidR="00FB32B1">
        <w:fldChar w:fldCharType="begin"/>
      </w:r>
      <w:r w:rsidR="0067297B">
        <w:instrText xml:space="preserve"> ADDIN ZOTERO_ITEM CSL_CITATION {"citationID":"Zxxio2Cy","properties":{"formattedCitation":"(Rothbaum et al. 1999)","plainCitation":"(Rothbaum et al. 1999)","noteIndex":0},"citationItems":[{"id":781,"uris":["http://zotero.org/users/local/wdQKiz3s/items/WKFJPLRJ"],"uri":["http://zotero.org/users/local/wdQKiz3s/items/WKFJPLRJ"],"itemData":{"id":781,"type":"article-journal","abstract":"Virtual reality (VR) integrates real-time computer graphics, body tracking devices, visual displays, and other sensory input devices to immerse a participant in a computer-generated virtual environment that changes in a natural way with head and body motion. VR exposure (VRE) is proposed as an alternative to typical imaginal exposure treatment for Vietnam combat veterans with posttraumatic stress disorder (PTSD). This report presents the results of the first Vietnam combat veteran with PTSD to have been treated with VRE. The patient was exposed to two virtual environments, a virtual Huey helicopter flying over a virtual Vietnam and a clearing surrounded by jungle. The patient experienced a 34% decrease on clinician-rated PTSD and a 45% decrease on self-rated PTSD. Treatment gains were maintained at 6-month follow-up.","container-title":"Journal of Traumatic Stress","DOI":"https://doi.org/10.1023/A:1024772308758","ISSN":"1573-6598","issue":"2","language":"en","note":"_eprint: https://onlinelibrary.wiley.com/doi/pdf/10.1023/A%3A1024772308758","page":"263-271","source":"Wiley Online Library","title":"Virtual reality exposure therapy for PTSD Vietnam veterans: A case study","title-short":"Virtual reality exposure therapy for PTSD Vietnam veterans","volume":"12","author":[{"family":"Rothbaum","given":"Barbara Olasov"},{"family":"Hodges","given":"Larry"},{"family":"Alarcon","given":"Renato"},{"family":"Ready","given":"David"},{"family":"Shahar","given":"Fran"},{"family":"Graap","given":"Ken"},{"family":"Pair","given":"Jarrel"},{"family":"Hebert","given":"Philip"},{"family":"Gotz","given":"Dave"},{"family":"Wills","given":"Brian"},{"family":"Baltzell","given":"David"}],"issued":{"date-parts":[["1999"]]}}}],"schema":"https://github.com/citation-style-language/schema/raw/master/csl-citation.json"} </w:instrText>
      </w:r>
      <w:r w:rsidR="00FB32B1">
        <w:fldChar w:fldCharType="separate"/>
      </w:r>
      <w:r w:rsidR="0067297B">
        <w:rPr>
          <w:noProof/>
        </w:rPr>
        <w:t>(Rothbaum et al. 1999)</w:t>
      </w:r>
      <w:r w:rsidR="00FB32B1">
        <w:fldChar w:fldCharType="end"/>
      </w:r>
      <w:r w:rsidR="0067297B">
        <w:t xml:space="preserve">. </w:t>
      </w:r>
      <w:r w:rsidR="00F978A5">
        <w:t xml:space="preserve">This provides PTSD patients </w:t>
      </w:r>
      <w:r w:rsidR="00C44FF8">
        <w:t xml:space="preserve"> with </w:t>
      </w:r>
      <w:r w:rsidR="00F978A5">
        <w:t xml:space="preserve">the opportunity to immerse themselves in a </w:t>
      </w:r>
      <w:r w:rsidR="00903CEC">
        <w:t>virtual, low-threat environment to decondition themselves to the</w:t>
      </w:r>
      <w:r w:rsidR="00FC202D">
        <w:t>ir trauma through habituation</w:t>
      </w:r>
      <w:r w:rsidR="00C4623F">
        <w:t xml:space="preserve"> </w:t>
      </w:r>
      <w:r w:rsidR="00C4623F">
        <w:fldChar w:fldCharType="begin"/>
      </w:r>
      <w:r w:rsidR="00DC50B8">
        <w:instrText xml:space="preserve"> ADDIN ZOTERO_ITEM CSL_CITATION {"citationID":"Dss1g415","properties":{"formattedCitation":"(Rizzo et al. 2009)","plainCitation":"(Rizzo et al. 2009)","noteIndex":0},"citationItems":[{"id":784,"uris":["http://zotero.org/users/local/wdQKiz3s/items/TANNXH7S"],"uri":["http://zotero.org/users/local/wdQKiz3s/items/TANNXH7S"],"itemData":{"id":784,"type":"chapter","abstract":"War is one of the most challenging environments that a human can experience. The cognitive, emotional, and physical demands of a combat environment place enormous stress on even the best-prepared military personnel. The OEF-OIF (Operation Enduring Freedom-Operation Iraqi Freedom) combat theatre, with its ubiquitous battlefronts, ambiguous enemy identification, and repeated extended deployments, was anticipated to produce significant numbers of military personnel with post-traumatic stress disorder (PTSD) and other mental disorders. Recent studies are now confirming this expectation. Among the many approaches that have been used to treat PTSD, exposure therapy appears to have the best-documented therapeutic efficacy. Such treatment typically involves the graded and repeated imaginal reliving of the traumatic event within the therapeutic setting and is believed to provide a low-threat context in which the patient can begin to therapeutically process trauma-relevant emotions as well as decondition the learning cycle of the disorder via a habituation/extinction process. While the efficacy of imaginal exposure has been established in multiple studies with diverse trauma populations, many patients are unwilling or unable to effectively visualize the traumatic event. To address this problem, researchers have recently turned to the use of virtual reality (VR) to deliver exposure therapy by immersing patients in simulations of trauma-relevant environments that allow for precise control of stimulus conditions. This chapter presents an overview of PTSD exposure therapy, a description of VR, and the rationale for how this technology has been applied as a tool to deliver exposure therapy along with a brief review of current research. We then provide a description of the current Virtual Iraq exposure therapy system and treatment protocol and present initial results from an open clinical trial with active duty military personnel and a brief case study. The chapter concludes with a summary of future directions in which VR technology can be further applied to more comprehensively address a range of PTSD-relevant issues.","container-title":"Post-Traumatic Stress Disorder: Basic Science and Clinical Practice","event-place":"Totowa, NJ","ISBN":"978-1-60327-329-9","language":"en","note":"DOI: 10.1007/978-1-60327-329-9_18","page":"375-399","publisher":"Humana Press","publisher-place":"Totowa, NJ","source":"Springer Link","title":"Virtual Reality Exposure Therapy for Combat-Related PTSD","URL":"https://doi.org/10.1007/978-1-60327-329-9_18","author":[{"family":"Rizzo","given":"Albert"},{"family":"Reger","given":"Greg"},{"family":"Gahm","given":"Greg"},{"family":"Difede","given":"JoAnn"},{"family":"Rothbaum","given":"Barbara O."}],"editor":[{"family":"LeDoux","given":"Joseph E."},{"family":"Keane","given":"Terrence"},{"family":"Shiromani","given":"Peter"}],"accessed":{"date-parts":[["2021",2,16]]},"issued":{"date-parts":[["2009"]]}}}],"schema":"https://github.com/citation-style-language/schema/raw/master/csl-citation.json"} </w:instrText>
      </w:r>
      <w:r w:rsidR="00C4623F">
        <w:fldChar w:fldCharType="separate"/>
      </w:r>
      <w:r w:rsidR="00DC50B8">
        <w:rPr>
          <w:noProof/>
        </w:rPr>
        <w:t>(Rizzo et al. 2009)</w:t>
      </w:r>
      <w:r w:rsidR="00C4623F">
        <w:fldChar w:fldCharType="end"/>
      </w:r>
      <w:r w:rsidR="00DC50B8">
        <w:t xml:space="preserve">. </w:t>
      </w:r>
      <w:r w:rsidR="006727CB">
        <w:t xml:space="preserve">VR exposure </w:t>
      </w:r>
      <w:r w:rsidR="00327669">
        <w:t xml:space="preserve">therapy has shown efficacy </w:t>
      </w:r>
      <w:r w:rsidR="00BC068A">
        <w:t xml:space="preserve">in </w:t>
      </w:r>
      <w:r w:rsidR="00C44FF8">
        <w:t>increasing</w:t>
      </w:r>
      <w:r w:rsidR="00BC068A">
        <w:t xml:space="preserve"> </w:t>
      </w:r>
      <w:r w:rsidR="006623AF">
        <w:t xml:space="preserve">stress </w:t>
      </w:r>
      <w:r w:rsidR="006C7B40">
        <w:t xml:space="preserve">resilience </w:t>
      </w:r>
      <w:r w:rsidR="000C5F49">
        <w:fldChar w:fldCharType="begin"/>
      </w:r>
      <w:r w:rsidR="00C84A05">
        <w:instrText xml:space="preserve"> ADDIN ZOTERO_ITEM CSL_CITATION {"citationID":"2JtQjfI5","properties":{"formattedCitation":"(Rizzo et al. 2013)","plainCitation":"(Rizzo et al. 2013)","noteIndex":0},"citationItems":[{"id":786,"uris":["http://zotero.org/users/local/wdQKiz3s/items/VGIS8SKV"],"uri":["http://zotero.org/users/local/wdQKiz3s/items/VGIS8SKV"],"itemData":{"id":786,"type":"article-journal","abstract":"The incidence of post-traumatic stress disorder (PTSD) in returning Operation Enduring Freedom and Operation Iraqi Freedom military personnel has created a significant behavioral health care challenge. One emerging form of treatment for combat-related PTSD that has shown promise involves the delivery of exposure therapy using immersive virtual reality (VR). Initial outcomes from open clinical trials have been positive, and fully randomized controlled trials are currently in progress. Inspired by the initial success of our research using VR to emotionally engage and successfully treat persons undergoing exposure therapy for PTSD, we have developed a similar VR-based approach to deliver resilience training prior to an initial deployment. The STress Resilience In Virtual Environments (STRIVE) project aims to create a set of combat simulations (derived from our existing virtual Iraq/Afghanistan PTSD exposure therapy system) that are part of a multiepisode interactive narrative experience. Users can be immersed within challenging virtual combat contexts and interact with virtual characters as part of an experiential approach for learning emotional coping strategies believed to enhance stress resilience. This article describes the development and evaluation of the virtual Iraq/Afghanistan exposure therapy system and then details its current transition into the STRIVE tool for predeployment stress resilience training.","container-title":"Military Behavioral Health","DOI":"10.1080/21635781.2012.721064","ISSN":"2163-5781","issue":"1","note":"publisher: Routledge\n_eprint: https://doi.org/10.1080/21635781.2012.721064","page":"52-58","source":"Taylor and Francis+NEJM","title":"Virtual Reality as a Tool for Delivering PTSD Exposure Therapy and Stress Resilience Training","volume":"1","author":[{"family":"Rizzo","given":"Albert"},{"family":"John","given":"Bruce"},{"family":"Newman","given":"Brad"},{"family":"Williams","given":"Josh"},{"family":"Hartholt","given":"Arno"},{"family":"Lethin","given":"Clarke"},{"family":"Buckwalter","given":"J. Galen"}],"issued":{"date-parts":[["2013",1,1]]}}}],"schema":"https://github.com/citation-style-language/schema/raw/master/csl-citation.json"} </w:instrText>
      </w:r>
      <w:r w:rsidR="000C5F49">
        <w:fldChar w:fldCharType="separate"/>
      </w:r>
      <w:r w:rsidR="00C84A05">
        <w:rPr>
          <w:noProof/>
        </w:rPr>
        <w:t>(Rizzo et al. 2013)</w:t>
      </w:r>
      <w:r w:rsidR="000C5F49">
        <w:fldChar w:fldCharType="end"/>
      </w:r>
      <w:r w:rsidR="00C84A05">
        <w:t xml:space="preserve"> </w:t>
      </w:r>
      <w:r w:rsidR="006C7B40">
        <w:t xml:space="preserve">and </w:t>
      </w:r>
      <w:r w:rsidR="001814F7">
        <w:t xml:space="preserve">lessening inflammation </w:t>
      </w:r>
      <w:r w:rsidR="00192CD3">
        <w:t xml:space="preserve">following a stressful </w:t>
      </w:r>
      <w:r w:rsidR="005F5B64">
        <w:t xml:space="preserve">event </w:t>
      </w:r>
      <w:r w:rsidR="00343196">
        <w:fldChar w:fldCharType="begin"/>
      </w:r>
      <w:r w:rsidR="00E2325F">
        <w:instrText xml:space="preserve"> ADDIN ZOTERO_ITEM CSL_CITATION {"citationID":"7uxMVdVS","properties":{"formattedCitation":"(Reger et al. 2011)","plainCitation":"(Reger et al. 2011)","noteIndex":0},"citationItems":[{"id":789,"uris":["http://zotero.org/users/local/wdQKiz3s/items/CTY6ZXVW"],"uri":["http://zotero.org/users/local/wdQKiz3s/items/CTY6ZXVW"],"itemData":{"id":789,"type":"article-journal","abstract":"Exposure therapy is an evidence-based treatment for posttraumatic stress disorder (PTSD), but research evaluating its effectiveness with active duty service members is limited. This report examines the effectiveness of virtual reality exposure therapy (VRE) for active duty soldiers (N = 24) seeking treatment following a deployment to Iraq or Afghanistan. Relative to their pretreatment self-reported symptoms on the PTSD Checklist, Military Version (M = 60.92; SD = 11.03), patients reported a significant reduction at posttreatment (M = 47.08; SD = 12.70; p &lt; .001). Sixty-two percent of patients (n = 15) reported a reliable change of 11 points or more. This study supports the effectiveness of exposure therapy for active duty soldiers and extends previous research on VRE to this population.","container-title":"Journal of Traumatic Stress","DOI":"https://doi.org/10.1002/jts.20574","ISSN":"1573-6598","issue":"1","language":"en","note":"_eprint: https://onlinelibrary.wiley.com/doi/pdf/10.1002/jts.20574","page":"93-96","source":"Wiley Online Library","title":"Effectiveness of virtual reality exposure therapy for active duty soldiers in a military mental health clinic","volume":"24","author":[{"family":"Reger","given":"Greg M."},{"family":"Holloway","given":"Kevin M."},{"family":"Candy","given":"Colette"},{"family":"Rothbaum","given":"Barbara O."},{"family":"Difede","given":"JoAnn"},{"family":"Rizzo","given":"Albert A."},{"family":"Gahm","given":"Gregory A."}],"issued":{"date-parts":[["2011"]]}}}],"schema":"https://github.com/citation-style-language/schema/raw/master/csl-citation.json"} </w:instrText>
      </w:r>
      <w:r w:rsidR="00343196">
        <w:fldChar w:fldCharType="separate"/>
      </w:r>
      <w:r w:rsidR="00E2325F">
        <w:rPr>
          <w:noProof/>
        </w:rPr>
        <w:t>(Reger et al. 2011)</w:t>
      </w:r>
      <w:r w:rsidR="00343196">
        <w:fldChar w:fldCharType="end"/>
      </w:r>
      <w:r w:rsidR="00192CD3">
        <w:t>.</w:t>
      </w:r>
      <w:r w:rsidR="00422D7D">
        <w:t xml:space="preserve"> This technology is</w:t>
      </w:r>
      <w:r w:rsidR="00745899">
        <w:t xml:space="preserve"> </w:t>
      </w:r>
      <w:r w:rsidR="00422D7D">
        <w:t>brand-new and still needs to be ref</w:t>
      </w:r>
      <w:r w:rsidR="00782965">
        <w:t xml:space="preserve">ined </w:t>
      </w:r>
      <w:r w:rsidR="005F5B64">
        <w:t xml:space="preserve">by </w:t>
      </w:r>
      <w:r w:rsidR="00782965">
        <w:t>more research</w:t>
      </w:r>
      <w:r w:rsidR="005F5B64">
        <w:t xml:space="preserve">. </w:t>
      </w:r>
    </w:p>
    <w:p w14:paraId="77188FED" w14:textId="77777777" w:rsidR="00745899" w:rsidRDefault="00745899" w:rsidP="007A1D40">
      <w:pPr>
        <w:spacing w:line="480" w:lineRule="auto"/>
      </w:pPr>
    </w:p>
    <w:p w14:paraId="164EB789" w14:textId="0ACE5D4D" w:rsidR="0067297B" w:rsidRPr="00745899" w:rsidRDefault="00745899" w:rsidP="007A1D40">
      <w:pPr>
        <w:spacing w:line="480" w:lineRule="auto"/>
        <w:rPr>
          <w:i/>
          <w:iCs/>
        </w:rPr>
      </w:pPr>
      <w:r>
        <w:rPr>
          <w:i/>
          <w:iCs/>
        </w:rPr>
        <w:t>Therapy Animals</w:t>
      </w:r>
    </w:p>
    <w:p w14:paraId="113D64C2" w14:textId="77777777" w:rsidR="0067297B" w:rsidRPr="00845F85" w:rsidRDefault="0067297B" w:rsidP="007A1D40">
      <w:pPr>
        <w:spacing w:line="480" w:lineRule="auto"/>
      </w:pPr>
    </w:p>
    <w:p w14:paraId="392F6D35" w14:textId="550E476E" w:rsidR="00DD4E76" w:rsidRDefault="00CF1811" w:rsidP="007A1D40">
      <w:pPr>
        <w:spacing w:line="480" w:lineRule="auto"/>
      </w:pPr>
      <w:r>
        <w:t>T</w:t>
      </w:r>
      <w:r w:rsidR="00DD4E76">
        <w:t xml:space="preserve">herapy dogs have been </w:t>
      </w:r>
      <w:r w:rsidR="00F5143F">
        <w:t>used as</w:t>
      </w:r>
      <w:r w:rsidR="00DD4E76">
        <w:t xml:space="preserve"> a non-invasive intervention </w:t>
      </w:r>
      <w:r w:rsidR="00F5143F">
        <w:t>in</w:t>
      </w:r>
      <w:r w:rsidR="00DD4E76">
        <w:t xml:space="preserve"> hospitals like the VA referring to canine therapy as animal-assisted therapy (AAT). These animals can create a positive environment which enables the patient to forge a working-relationship with the animal to restore trust into their relationships </w:t>
      </w:r>
      <w:r w:rsidR="00DD4E76">
        <w:fldChar w:fldCharType="begin"/>
      </w:r>
      <w:r w:rsidR="00DD4E76">
        <w:instrText xml:space="preserve"> ADDIN ZOTERO_ITEM CSL_CITATION {"citationID":"g91PBNlN","properties":{"formattedCitation":"(Furst 2016)","plainCitation":"(Furst 2016)","noteIndex":0},"citationItems":[{"id":460,"uris":["http://zotero.org/users/local/wdQKiz3s/items/6ERTWKSN"],"uri":["http://zotero.org/users/local/wdQKiz3s/items/6ERTWKSN"],"itemData":{"id":460,"type":"article-journal","abstract":"A grassroots movement of nonprofit, nongovernmental organizations is creating programs in which incarcerated individuals train rescued shelter dogs as therapeutic canines for Veterans with posttraumatic stress disorder (PTSD). Driven in part by reports of Veterans not receiving adequate treatment for PTSD, the programs are the latest iteration of prison-based animal programs and are founded on the principles of animal therapy and healing powers of animals. The far-reaching and deleterious collateral consequences of PTSD create social and economic burdens on the country; providing beneficial interventions for Veterans is a pressing social problem. Without oversight, a patchwork of agencies has developed that provides Veterans with dogs with varying levels of training and differing abilities. To best serve the needs of Veterans, the programs need regulation and standardized methods of training. [ Journal of Psychosocial Nursing and Mental Health Services , 54 (5), 49-57.]","container-title":"Journal of Psychosocial Nursing &amp; Mental Health Services; Thorofare","DOI":"http://dx.doi.org.colorado.idm.oclc.org/10.3928/02793695-20160420-07","ISSN":"02793695","issue":"5","language":"English","note":"number-of-pages: 9\npublisher-place: Thorofare, United States, Thorofare\npublisher: SLACK INCORPORATED\nsection: CNE Article","page":"49-57","source":"ProQuest","title":"Helping War Veterans with Posttraumatic Stress Disorder: Incarcerated Individuals' Role in Therapeutic Animal Programs","title-short":"Helping War Veterans with Posttraumatic Stress Disorder","volume":"54","author":[{"family":"Furst","given":"Gennifer"}],"issued":{"date-parts":[["2016",5]]}}}],"schema":"https://github.com/citation-style-language/schema/raw/master/csl-citation.json"} </w:instrText>
      </w:r>
      <w:r w:rsidR="00DD4E76">
        <w:fldChar w:fldCharType="separate"/>
      </w:r>
      <w:r w:rsidR="00DD4E76">
        <w:rPr>
          <w:noProof/>
        </w:rPr>
        <w:t>(Furst 2016)</w:t>
      </w:r>
      <w:r w:rsidR="00DD4E76">
        <w:fldChar w:fldCharType="end"/>
      </w:r>
      <w:r w:rsidR="00DD4E76">
        <w:t>. This has great potential in changing the</w:t>
      </w:r>
      <w:r w:rsidR="00F5143F">
        <w:t xml:space="preserve"> p</w:t>
      </w:r>
      <w:r w:rsidR="00DD4E76">
        <w:t xml:space="preserve">sychology of many patients because their trauma might have reduced their sense of self-esteem and depending on the nature of the incident which caused the trauma, human-to-human interactions might have caused them to lose all trust in relationships; therefore, integrating canines into the equation might be a great alternative to restore this trust </w:t>
      </w:r>
      <w:r w:rsidR="00DD4E76">
        <w:fldChar w:fldCharType="begin"/>
      </w:r>
      <w:r w:rsidR="00DD4E76">
        <w:instrText xml:space="preserve"> ADDIN ZOTERO_ITEM CSL_CITATION {"citationID":"J1s9Ya2j","properties":{"formattedCitation":"(Lass-Hennemann et al. 2018 Sep 4)","plainCitation":"(Lass-Hennemann et al. 2018 Sep 4)","dontUpdate":true,"noteIndex":0},"citationItems":[{"id":454,"uris":["http://zotero.org/users/local/wdQKiz3s/items/LSMTZB7V"],"uri":["http://zotero.org/users/local/wdQKiz3s/items/LSMTZB7V"],"itemData":{"id":454,"type":"article-journal","container-title":"Frontiers in Psychology","DOI":"10.3389/fpsyg.2018.01627","ISSN":"16641078","language":"English","note":"publisher: Frontiers Research Foundation","source":"go-gale-com.colorado.idm.oclc.org","title":"Therapy Dogs as a Crisis Intervention After Traumatic Events? - An Experimental Study","title-short":"Therapy Dogs as a Crisis Intervention After Traumatic Events?","URL":"http://go.gale.com/ps/i.do?p=AONE&amp;sw=w&amp;issn=16641078&amp;v=2.1&amp;it=r&amp;id=GALE%7CA552921626&amp;sid=googleScholar&amp;linkaccess=abs","author":[{"family":"Lass-Hennemann","given":"Johanna"},{"family":"SchA[currency]fer","given":"Sarah K."},{"family":"RA[paragraph]mer","given":"Sonja"},{"family":"Holz","given":"Elena"},{"family":"Streb","given":"Markus"},{"family":"Michael","given":"Tanja"}],"accessed":{"date-parts":[["2020",11,5]]},"issued":{"date-parts":[["2018",9,4]]}}}],"schema":"https://github.com/citation-style-language/schema/raw/master/csl-citation.json"} </w:instrText>
      </w:r>
      <w:r w:rsidR="00DD4E76">
        <w:fldChar w:fldCharType="separate"/>
      </w:r>
      <w:r w:rsidR="00DD4E76">
        <w:rPr>
          <w:noProof/>
        </w:rPr>
        <w:t>(Lass-Hennemann et al. 2018)</w:t>
      </w:r>
      <w:r w:rsidR="00DD4E76">
        <w:fldChar w:fldCharType="end"/>
      </w:r>
      <w:r w:rsidR="00DD4E76">
        <w:t xml:space="preserve">. </w:t>
      </w:r>
      <w:r w:rsidR="00233396">
        <w:t xml:space="preserve">Companionship with animals have shown </w:t>
      </w:r>
      <w:r w:rsidR="002F08AC">
        <w:t xml:space="preserve">to have similar effects </w:t>
      </w:r>
      <w:r w:rsidR="00954A0C">
        <w:t>as other psychological stress management practices like exercising or dieting (</w:t>
      </w:r>
      <w:r w:rsidR="00621B27">
        <w:t>Lass-</w:t>
      </w:r>
      <w:proofErr w:type="spellStart"/>
      <w:r w:rsidR="00621B27">
        <w:t>Hennemann</w:t>
      </w:r>
      <w:proofErr w:type="spellEnd"/>
      <w:r w:rsidR="00621B27">
        <w:t xml:space="preserve"> et al. 2018</w:t>
      </w:r>
      <w:r w:rsidR="006E10AE">
        <w:t>; Wilkins et al. 2020).</w:t>
      </w:r>
      <w:r w:rsidR="00221E28">
        <w:t xml:space="preserve"> </w:t>
      </w:r>
      <w:r w:rsidR="00925F60">
        <w:t xml:space="preserve">Therapy dog ownership can be viewed as multi-faceted approach </w:t>
      </w:r>
      <w:r w:rsidR="00640514">
        <w:t xml:space="preserve">which combines </w:t>
      </w:r>
      <w:r w:rsidR="00BA6C3F">
        <w:t xml:space="preserve">stress reduction, </w:t>
      </w:r>
      <w:r w:rsidR="00B66931">
        <w:t>physical activity, and exposure to natural biomes outdoors</w:t>
      </w:r>
      <w:r w:rsidR="005B6C47">
        <w:t xml:space="preserve">. One study has already proven the </w:t>
      </w:r>
      <w:r w:rsidR="005B6C47">
        <w:lastRenderedPageBreak/>
        <w:t xml:space="preserve">anti-inflammatory </w:t>
      </w:r>
      <w:r w:rsidR="00446511">
        <w:t xml:space="preserve">effect of having a dog early in life and the beneficial effect pet ownership has on the microbiome </w:t>
      </w:r>
      <w:r w:rsidR="00F07373">
        <w:t>(</w:t>
      </w:r>
      <w:r w:rsidR="00DF74A9" w:rsidRPr="00DF74A9">
        <w:t>Hoisington</w:t>
      </w:r>
      <w:r w:rsidR="00DF74A9">
        <w:t xml:space="preserve"> et al. </w:t>
      </w:r>
      <w:r w:rsidR="00845271">
        <w:t xml:space="preserve">2018). </w:t>
      </w:r>
    </w:p>
    <w:p w14:paraId="4BD99FA5" w14:textId="034A8704" w:rsidR="002725ED" w:rsidRDefault="002725ED" w:rsidP="007A1D40">
      <w:pPr>
        <w:spacing w:line="480" w:lineRule="auto"/>
        <w:rPr>
          <w:b/>
          <w:bCs/>
        </w:rPr>
      </w:pPr>
    </w:p>
    <w:p w14:paraId="5D2A5621" w14:textId="77777777" w:rsidR="00DA261E" w:rsidRDefault="00DA261E" w:rsidP="007A1D40">
      <w:pPr>
        <w:spacing w:line="480" w:lineRule="auto"/>
        <w:rPr>
          <w:b/>
          <w:bCs/>
        </w:rPr>
      </w:pPr>
    </w:p>
    <w:p w14:paraId="481071A2" w14:textId="19B32BE5" w:rsidR="00CF1811" w:rsidRPr="00755B32" w:rsidRDefault="001F402B" w:rsidP="00755B32">
      <w:pPr>
        <w:pStyle w:val="ListParagraph"/>
        <w:numPr>
          <w:ilvl w:val="0"/>
          <w:numId w:val="4"/>
        </w:numPr>
        <w:spacing w:line="480" w:lineRule="auto"/>
        <w:rPr>
          <w:b/>
          <w:bCs/>
        </w:rPr>
      </w:pPr>
      <w:r w:rsidRPr="00755B32">
        <w:rPr>
          <w:b/>
          <w:bCs/>
        </w:rPr>
        <w:t xml:space="preserve"> Conclusion and Proposed Treatment </w:t>
      </w:r>
      <w:r w:rsidR="00C13D5A" w:rsidRPr="00755B32">
        <w:rPr>
          <w:b/>
          <w:bCs/>
        </w:rPr>
        <w:t>Regime</w:t>
      </w:r>
    </w:p>
    <w:p w14:paraId="46519D61" w14:textId="77777777" w:rsidR="001F402B" w:rsidRDefault="001F402B" w:rsidP="007A1D40">
      <w:pPr>
        <w:spacing w:line="480" w:lineRule="auto"/>
        <w:rPr>
          <w:b/>
          <w:bCs/>
        </w:rPr>
      </w:pPr>
    </w:p>
    <w:p w14:paraId="354FA9BD" w14:textId="7FDC7C60" w:rsidR="001F258D" w:rsidRPr="00447517" w:rsidRDefault="00D408EE" w:rsidP="001F258D">
      <w:pPr>
        <w:spacing w:line="480" w:lineRule="auto"/>
        <w:rPr>
          <w:color w:val="000000"/>
          <w:shd w:val="clear" w:color="auto" w:fill="FFFFFF"/>
        </w:rPr>
      </w:pPr>
      <w:r>
        <w:t>Thus far only</w:t>
      </w:r>
      <w:r w:rsidR="002725ED">
        <w:t xml:space="preserve"> very limited research has been conducted on a synergistic approach to PTSD, </w:t>
      </w:r>
      <w:r>
        <w:t>but the evidence</w:t>
      </w:r>
      <w:r w:rsidR="0062582B">
        <w:t xml:space="preserve"> summarized above suggest that</w:t>
      </w:r>
      <w:r w:rsidR="002725ED">
        <w:t xml:space="preserve"> </w:t>
      </w:r>
      <w:r w:rsidR="0062582B">
        <w:t xml:space="preserve">a </w:t>
      </w:r>
      <w:r w:rsidR="002725ED">
        <w:t>combin</w:t>
      </w:r>
      <w:r w:rsidR="0062582B">
        <w:t>ation of</w:t>
      </w:r>
      <w:r w:rsidR="002725ED">
        <w:t xml:space="preserve"> multiple facets </w:t>
      </w:r>
      <w:r w:rsidR="0062582B">
        <w:t xml:space="preserve">of </w:t>
      </w:r>
      <w:r w:rsidR="002725ED">
        <w:t>treatments t</w:t>
      </w:r>
      <w:r w:rsidR="0053258E">
        <w:t xml:space="preserve">hat all have the same targets may </w:t>
      </w:r>
      <w:r w:rsidR="002725ED">
        <w:t>have a</w:t>
      </w:r>
      <w:r w:rsidR="007B4962">
        <w:t xml:space="preserve"> multiplicative </w:t>
      </w:r>
      <w:r w:rsidR="0053258E">
        <w:t>benefit</w:t>
      </w:r>
      <w:r w:rsidR="002725ED">
        <w:t xml:space="preserve">. </w:t>
      </w:r>
      <w:r w:rsidR="005078B8">
        <w:t xml:space="preserve">Combination of several or all of the above-mentioned therapies </w:t>
      </w:r>
      <w:r w:rsidR="007B4962">
        <w:t>that have a common anti-inflammatory effect</w:t>
      </w:r>
      <w:r w:rsidR="009744DD">
        <w:t xml:space="preserve"> may</w:t>
      </w:r>
      <w:r w:rsidR="005078B8">
        <w:t xml:space="preserve"> </w:t>
      </w:r>
      <w:r w:rsidR="009744DD">
        <w:t>act in s</w:t>
      </w:r>
      <w:r w:rsidR="005078B8">
        <w:t>ynerg</w:t>
      </w:r>
      <w:r w:rsidR="00C73AB6">
        <w:t>y</w:t>
      </w:r>
      <w:r w:rsidR="005078B8">
        <w:t xml:space="preserve"> </w:t>
      </w:r>
      <w:r w:rsidR="009744DD">
        <w:t xml:space="preserve">to potentiate reduction of </w:t>
      </w:r>
      <w:r w:rsidR="005072FB">
        <w:t>chronic inflammation and ameliora</w:t>
      </w:r>
      <w:r w:rsidR="00C73AB6">
        <w:t>te</w:t>
      </w:r>
      <w:r w:rsidR="005072FB">
        <w:t xml:space="preserve"> the symptoms of PTSD. The evidence summarized in this thesis </w:t>
      </w:r>
      <w:r w:rsidR="00C73AB6">
        <w:t>thus w</w:t>
      </w:r>
      <w:r w:rsidR="005072FB">
        <w:t xml:space="preserve">arrants future research into the benefits of </w:t>
      </w:r>
      <w:r w:rsidR="009744DD">
        <w:t xml:space="preserve">such a </w:t>
      </w:r>
      <w:r w:rsidR="005072FB">
        <w:t xml:space="preserve">synergistic relationship </w:t>
      </w:r>
      <w:r w:rsidR="009744DD">
        <w:t xml:space="preserve">among multiple novel therapies </w:t>
      </w:r>
      <w:r w:rsidR="005072FB">
        <w:t xml:space="preserve">for treating PTSD. </w:t>
      </w:r>
      <w:r w:rsidR="00C13D5A">
        <w:t xml:space="preserve">I </w:t>
      </w:r>
      <w:r w:rsidR="001F258D">
        <w:t>propose</w:t>
      </w:r>
      <w:r w:rsidR="00C13D5A">
        <w:t xml:space="preserve"> a</w:t>
      </w:r>
      <w:r w:rsidR="001F258D">
        <w:t xml:space="preserve"> treatment regime </w:t>
      </w:r>
      <w:r w:rsidR="00C13D5A">
        <w:t xml:space="preserve">that combines </w:t>
      </w:r>
      <w:r w:rsidR="0025620F">
        <w:t xml:space="preserve">some or all of the following </w:t>
      </w:r>
      <w:r w:rsidR="00443CC1">
        <w:t xml:space="preserve">interventions </w:t>
      </w:r>
      <w:r w:rsidR="00041990">
        <w:t>–</w:t>
      </w:r>
      <w:r w:rsidR="00472C3F">
        <w:t xml:space="preserve"> pharmacolog</w:t>
      </w:r>
      <w:r w:rsidR="00DF5376">
        <w:t>y (i.e. ketamine and cannabin</w:t>
      </w:r>
      <w:r w:rsidR="00266A00">
        <w:t xml:space="preserve">oids), exercise, stress reduction, </w:t>
      </w:r>
      <w:r w:rsidR="00EA19DE">
        <w:t>probiotic supplementation</w:t>
      </w:r>
      <w:r w:rsidR="00164370">
        <w:t xml:space="preserve"> and a prebiotic diet</w:t>
      </w:r>
      <w:r w:rsidR="00EA19DE">
        <w:t xml:space="preserve">, omega-3 fatty acid </w:t>
      </w:r>
      <w:r w:rsidR="00CF5A7A">
        <w:t xml:space="preserve">rich diets, virtual reality exposure, </w:t>
      </w:r>
      <w:r w:rsidR="00F56D26">
        <w:t>therapy animals, transcranial magnetic stimulation, electroacupuncture, and trauma-sensitive yoga</w:t>
      </w:r>
      <w:r w:rsidR="00164370">
        <w:t xml:space="preserve"> (Figs. 6,7)</w:t>
      </w:r>
      <w:r w:rsidR="00F56D26">
        <w:t xml:space="preserve">. </w:t>
      </w:r>
      <w:r w:rsidR="00EA19DE">
        <w:t xml:space="preserve"> </w:t>
      </w:r>
    </w:p>
    <w:p w14:paraId="25FB100C" w14:textId="420B60E2" w:rsidR="003E4F0A" w:rsidRPr="00447517" w:rsidRDefault="00AF18A1" w:rsidP="001F258D">
      <w:pPr>
        <w:spacing w:line="480" w:lineRule="auto"/>
        <w:rPr>
          <w:color w:val="000000"/>
        </w:rPr>
      </w:pPr>
      <w:r>
        <w:rPr>
          <w:noProof/>
          <w:color w:val="000000"/>
        </w:rPr>
        <w:lastRenderedPageBreak/>
        <w:drawing>
          <wp:inline distT="0" distB="0" distL="0" distR="0" wp14:anchorId="4990A461" wp14:editId="164DB774">
            <wp:extent cx="5943600" cy="5257800"/>
            <wp:effectExtent l="0" t="0" r="0"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5257800"/>
                    </a:xfrm>
                    <a:prstGeom prst="rect">
                      <a:avLst/>
                    </a:prstGeom>
                  </pic:spPr>
                </pic:pic>
              </a:graphicData>
            </a:graphic>
          </wp:inline>
        </w:drawing>
      </w:r>
    </w:p>
    <w:p w14:paraId="0B72C392" w14:textId="4399C081" w:rsidR="006E1BC8" w:rsidRDefault="001E41C5" w:rsidP="001F258D">
      <w:pPr>
        <w:spacing w:line="480" w:lineRule="auto"/>
        <w:rPr>
          <w:color w:val="000000"/>
        </w:rPr>
      </w:pPr>
      <w:r w:rsidRPr="00447517">
        <w:rPr>
          <w:b/>
          <w:bCs/>
          <w:color w:val="000000"/>
        </w:rPr>
        <w:t xml:space="preserve">Figure </w:t>
      </w:r>
      <w:r w:rsidR="00A121CC">
        <w:rPr>
          <w:b/>
          <w:bCs/>
          <w:color w:val="000000"/>
        </w:rPr>
        <w:t>6</w:t>
      </w:r>
      <w:r w:rsidRPr="00447517">
        <w:rPr>
          <w:color w:val="000000"/>
        </w:rPr>
        <w:t xml:space="preserve">: Proposed treatment regime combing multiple treatment </w:t>
      </w:r>
      <w:r w:rsidR="0032356F" w:rsidRPr="00447517">
        <w:rPr>
          <w:color w:val="000000"/>
        </w:rPr>
        <w:t xml:space="preserve">interventions. </w:t>
      </w:r>
      <w:r w:rsidR="00CB7760">
        <w:rPr>
          <w:color w:val="000000"/>
        </w:rPr>
        <w:t xml:space="preserve">Figure generated by author using </w:t>
      </w:r>
      <w:proofErr w:type="spellStart"/>
      <w:r w:rsidR="00CB7760">
        <w:rPr>
          <w:color w:val="000000"/>
        </w:rPr>
        <w:t>BioRender</w:t>
      </w:r>
      <w:proofErr w:type="spellEnd"/>
      <w:r w:rsidR="00CB7760">
        <w:rPr>
          <w:color w:val="000000"/>
        </w:rPr>
        <w:t xml:space="preserve"> software.</w:t>
      </w:r>
    </w:p>
    <w:p w14:paraId="4D333331" w14:textId="77777777" w:rsidR="006E1BC8" w:rsidRDefault="006E1BC8" w:rsidP="001F258D">
      <w:pPr>
        <w:spacing w:line="480" w:lineRule="auto"/>
        <w:rPr>
          <w:color w:val="000000"/>
        </w:rPr>
      </w:pPr>
    </w:p>
    <w:p w14:paraId="4D899AFE" w14:textId="738CDA9B" w:rsidR="00BB6CFF" w:rsidRDefault="00926264" w:rsidP="001F258D">
      <w:pPr>
        <w:spacing w:line="480" w:lineRule="auto"/>
        <w:rPr>
          <w:color w:val="000000"/>
        </w:rPr>
      </w:pPr>
      <w:r w:rsidRPr="00447517">
        <w:rPr>
          <w:color w:val="000000"/>
        </w:rPr>
        <w:t>Trauma-</w:t>
      </w:r>
      <w:r w:rsidR="00CB7760">
        <w:rPr>
          <w:color w:val="000000"/>
        </w:rPr>
        <w:t>s</w:t>
      </w:r>
      <w:r w:rsidRPr="00447517">
        <w:rPr>
          <w:color w:val="000000"/>
        </w:rPr>
        <w:t xml:space="preserve">ensitive </w:t>
      </w:r>
      <w:r w:rsidR="00CB7760">
        <w:rPr>
          <w:color w:val="000000"/>
        </w:rPr>
        <w:t>y</w:t>
      </w:r>
      <w:r w:rsidRPr="00447517">
        <w:rPr>
          <w:color w:val="000000"/>
        </w:rPr>
        <w:t xml:space="preserve">oga and exercise along with omega-3 supplementation, therapy </w:t>
      </w:r>
      <w:r w:rsidR="00150F57" w:rsidRPr="00447517">
        <w:rPr>
          <w:color w:val="000000"/>
        </w:rPr>
        <w:t xml:space="preserve">animals, VR exposure therapy, </w:t>
      </w:r>
      <w:r w:rsidR="006C3D34" w:rsidRPr="00447517">
        <w:rPr>
          <w:color w:val="000000"/>
        </w:rPr>
        <w:t xml:space="preserve">and </w:t>
      </w:r>
      <w:r w:rsidR="00150F57" w:rsidRPr="00447517">
        <w:rPr>
          <w:color w:val="000000"/>
        </w:rPr>
        <w:t>probiotics</w:t>
      </w:r>
      <w:r w:rsidR="006C3D34" w:rsidRPr="00447517">
        <w:rPr>
          <w:color w:val="000000"/>
        </w:rPr>
        <w:t xml:space="preserve"> are </w:t>
      </w:r>
      <w:r w:rsidR="006E09C0">
        <w:rPr>
          <w:color w:val="000000"/>
        </w:rPr>
        <w:t>proposed</w:t>
      </w:r>
      <w:r w:rsidR="0002696F" w:rsidRPr="00447517">
        <w:rPr>
          <w:color w:val="000000"/>
        </w:rPr>
        <w:t xml:space="preserve"> to last</w:t>
      </w:r>
      <w:r w:rsidR="006E09C0">
        <w:rPr>
          <w:color w:val="000000"/>
        </w:rPr>
        <w:t xml:space="preserve"> for</w:t>
      </w:r>
      <w:r w:rsidR="0093475C">
        <w:rPr>
          <w:color w:val="000000"/>
        </w:rPr>
        <w:t xml:space="preserve"> </w:t>
      </w:r>
      <w:r w:rsidR="0002696F" w:rsidRPr="00447517">
        <w:rPr>
          <w:color w:val="000000"/>
        </w:rPr>
        <w:t xml:space="preserve">the entire duration of patient recovery. This is due to </w:t>
      </w:r>
      <w:r w:rsidR="005E0BC6" w:rsidRPr="00447517">
        <w:rPr>
          <w:color w:val="000000"/>
        </w:rPr>
        <w:t xml:space="preserve">the </w:t>
      </w:r>
      <w:r w:rsidR="0002696F" w:rsidRPr="00447517">
        <w:rPr>
          <w:color w:val="000000"/>
        </w:rPr>
        <w:t>evidence-based efficacy explained above</w:t>
      </w:r>
      <w:r w:rsidR="005E0BC6" w:rsidRPr="00447517">
        <w:rPr>
          <w:color w:val="000000"/>
        </w:rPr>
        <w:t xml:space="preserve"> or low risk of developing side effects. </w:t>
      </w:r>
      <w:r w:rsidR="009A764F" w:rsidRPr="00447517">
        <w:rPr>
          <w:color w:val="000000"/>
        </w:rPr>
        <w:t>Ketamine and other pharmacological interventions like cannabinoids are indicated to finish much sooner before full recovery is achieved because of</w:t>
      </w:r>
      <w:r w:rsidR="004157AC" w:rsidRPr="00447517">
        <w:rPr>
          <w:color w:val="000000"/>
        </w:rPr>
        <w:t xml:space="preserve"> </w:t>
      </w:r>
      <w:r w:rsidR="009D7D92" w:rsidRPr="00447517">
        <w:rPr>
          <w:color w:val="000000"/>
        </w:rPr>
        <w:t xml:space="preserve">addiction, side-effects, or adverse changes to </w:t>
      </w:r>
      <w:r w:rsidR="009D7D92" w:rsidRPr="00447517">
        <w:rPr>
          <w:color w:val="000000"/>
        </w:rPr>
        <w:lastRenderedPageBreak/>
        <w:t xml:space="preserve">patient health due to prolonged drug usage. </w:t>
      </w:r>
      <w:r w:rsidR="00310EF2" w:rsidRPr="00447517">
        <w:rPr>
          <w:color w:val="000000"/>
        </w:rPr>
        <w:t xml:space="preserve">Cannabinoids, in particular, have not been proven to be effective over prolonged periods of time and the dosage amount still needs further research. </w:t>
      </w:r>
    </w:p>
    <w:p w14:paraId="2DFB4ED2" w14:textId="1D0BACB3" w:rsidR="004251D2" w:rsidRDefault="004251D2" w:rsidP="001F258D">
      <w:pPr>
        <w:spacing w:line="480" w:lineRule="auto"/>
        <w:rPr>
          <w:color w:val="000000"/>
        </w:rPr>
      </w:pPr>
    </w:p>
    <w:p w14:paraId="63ED23C5" w14:textId="11405D52" w:rsidR="004251D2" w:rsidRDefault="00B21882" w:rsidP="001F258D">
      <w:pPr>
        <w:spacing w:line="480" w:lineRule="auto"/>
        <w:rPr>
          <w:color w:val="000000"/>
        </w:rPr>
      </w:pPr>
      <w:r>
        <w:rPr>
          <w:noProof/>
          <w:color w:val="000000"/>
        </w:rPr>
        <w:drawing>
          <wp:inline distT="0" distB="0" distL="0" distR="0" wp14:anchorId="72FCABBF" wp14:editId="25ED075E">
            <wp:extent cx="6307923" cy="4317827"/>
            <wp:effectExtent l="0" t="0" r="4445" b="63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310475" cy="4319574"/>
                    </a:xfrm>
                    <a:prstGeom prst="rect">
                      <a:avLst/>
                    </a:prstGeom>
                  </pic:spPr>
                </pic:pic>
              </a:graphicData>
            </a:graphic>
          </wp:inline>
        </w:drawing>
      </w:r>
    </w:p>
    <w:p w14:paraId="6D48C0CB" w14:textId="7D9EB940" w:rsidR="00B21882" w:rsidRDefault="00B21882" w:rsidP="001F258D">
      <w:pPr>
        <w:spacing w:line="480" w:lineRule="auto"/>
        <w:rPr>
          <w:color w:val="000000"/>
        </w:rPr>
      </w:pPr>
      <w:r w:rsidRPr="00B21882">
        <w:rPr>
          <w:b/>
          <w:bCs/>
          <w:color w:val="000000"/>
        </w:rPr>
        <w:t>Figure 7</w:t>
      </w:r>
      <w:r w:rsidR="00BF5584">
        <w:rPr>
          <w:color w:val="000000"/>
        </w:rPr>
        <w:t xml:space="preserve">: </w:t>
      </w:r>
      <w:r w:rsidR="006E09C0">
        <w:rPr>
          <w:color w:val="000000"/>
        </w:rPr>
        <w:t>Summary</w:t>
      </w:r>
      <w:r w:rsidR="00446D36">
        <w:rPr>
          <w:color w:val="000000"/>
        </w:rPr>
        <w:t xml:space="preserve"> of conditions or interventions </w:t>
      </w:r>
      <w:r w:rsidR="009E4995">
        <w:rPr>
          <w:color w:val="000000"/>
        </w:rPr>
        <w:t>that either</w:t>
      </w:r>
      <w:r w:rsidR="00446D36">
        <w:rPr>
          <w:color w:val="000000"/>
        </w:rPr>
        <w:t xml:space="preserve"> exacerbate </w:t>
      </w:r>
      <w:r w:rsidR="00B02A5B">
        <w:rPr>
          <w:color w:val="000000"/>
        </w:rPr>
        <w:t xml:space="preserve">or counteract the development of PTSD. Made by author using </w:t>
      </w:r>
      <w:proofErr w:type="spellStart"/>
      <w:r w:rsidR="00B02A5B">
        <w:rPr>
          <w:color w:val="000000"/>
        </w:rPr>
        <w:t>BioRender</w:t>
      </w:r>
      <w:proofErr w:type="spellEnd"/>
      <w:r w:rsidR="00B02A5B">
        <w:rPr>
          <w:color w:val="000000"/>
        </w:rPr>
        <w:t>.</w:t>
      </w:r>
    </w:p>
    <w:p w14:paraId="35FE0306" w14:textId="6CC6DFDC" w:rsidR="00B02A5B" w:rsidRDefault="00B02A5B" w:rsidP="001F258D">
      <w:pPr>
        <w:spacing w:line="480" w:lineRule="auto"/>
        <w:rPr>
          <w:color w:val="000000"/>
        </w:rPr>
      </w:pPr>
    </w:p>
    <w:p w14:paraId="2486DD3B" w14:textId="0D745399" w:rsidR="00B02A5B" w:rsidRPr="00BF5584" w:rsidRDefault="009E4995" w:rsidP="001F258D">
      <w:pPr>
        <w:spacing w:line="480" w:lineRule="auto"/>
        <w:rPr>
          <w:color w:val="000000"/>
        </w:rPr>
      </w:pPr>
      <w:r>
        <w:rPr>
          <w:color w:val="000000"/>
        </w:rPr>
        <w:t>Figure 7</w:t>
      </w:r>
      <w:r w:rsidR="00B02A5B">
        <w:rPr>
          <w:color w:val="000000"/>
        </w:rPr>
        <w:t xml:space="preserve"> serves as a visual </w:t>
      </w:r>
      <w:r w:rsidR="0093475C">
        <w:rPr>
          <w:color w:val="000000"/>
        </w:rPr>
        <w:t xml:space="preserve">summary </w:t>
      </w:r>
      <w:r w:rsidR="00B02A5B">
        <w:rPr>
          <w:color w:val="000000"/>
        </w:rPr>
        <w:t xml:space="preserve">of </w:t>
      </w:r>
      <w:r w:rsidR="002B0870">
        <w:rPr>
          <w:color w:val="000000"/>
        </w:rPr>
        <w:t xml:space="preserve">the major connections </w:t>
      </w:r>
      <w:r w:rsidR="00B02A5B">
        <w:rPr>
          <w:color w:val="000000"/>
        </w:rPr>
        <w:t>discussed in th</w:t>
      </w:r>
      <w:r w:rsidR="002B0870">
        <w:rPr>
          <w:color w:val="000000"/>
        </w:rPr>
        <w:t>is</w:t>
      </w:r>
      <w:r w:rsidR="00B02A5B">
        <w:rPr>
          <w:color w:val="000000"/>
        </w:rPr>
        <w:t xml:space="preserve"> Honors thesis. It h</w:t>
      </w:r>
      <w:r w:rsidR="00C713C0">
        <w:rPr>
          <w:color w:val="000000"/>
        </w:rPr>
        <w:t xml:space="preserve">ighlights </w:t>
      </w:r>
      <w:r w:rsidR="002B0870">
        <w:rPr>
          <w:color w:val="000000"/>
        </w:rPr>
        <w:t>multiple</w:t>
      </w:r>
      <w:r w:rsidR="00C713C0">
        <w:rPr>
          <w:color w:val="000000"/>
        </w:rPr>
        <w:t xml:space="preserve"> conditions or lifestyle habits (i.e</w:t>
      </w:r>
      <w:r w:rsidR="002B0870">
        <w:rPr>
          <w:color w:val="000000"/>
        </w:rPr>
        <w:t>.,</w:t>
      </w:r>
      <w:r w:rsidR="00C713C0">
        <w:rPr>
          <w:color w:val="000000"/>
        </w:rPr>
        <w:t xml:space="preserve"> physical inactivity, substance abuse, poor stress management, etc.) </w:t>
      </w:r>
      <w:r w:rsidR="002B0870">
        <w:rPr>
          <w:color w:val="000000"/>
        </w:rPr>
        <w:t>that</w:t>
      </w:r>
      <w:r w:rsidR="00DE1DD4">
        <w:rPr>
          <w:color w:val="000000"/>
        </w:rPr>
        <w:t xml:space="preserve"> exacerbates PTSD symptomology. The right side shows all interventions highlighted in the Honors thesis </w:t>
      </w:r>
      <w:r w:rsidR="00EF0B0B">
        <w:rPr>
          <w:color w:val="000000"/>
        </w:rPr>
        <w:t>that have the potential</w:t>
      </w:r>
      <w:r w:rsidR="00DE1DD4">
        <w:rPr>
          <w:color w:val="000000"/>
        </w:rPr>
        <w:t xml:space="preserve"> to counteract the conditions </w:t>
      </w:r>
      <w:r w:rsidR="00EF0B0B">
        <w:rPr>
          <w:color w:val="000000"/>
        </w:rPr>
        <w:t>that</w:t>
      </w:r>
      <w:r w:rsidR="00DE1DD4">
        <w:rPr>
          <w:color w:val="000000"/>
        </w:rPr>
        <w:t xml:space="preserve"> exacerbate PTSD.</w:t>
      </w:r>
    </w:p>
    <w:p w14:paraId="379A1517" w14:textId="77777777" w:rsidR="00E04BB9" w:rsidRPr="00447517" w:rsidRDefault="00E04BB9" w:rsidP="002668F3">
      <w:pPr>
        <w:autoSpaceDE w:val="0"/>
        <w:autoSpaceDN w:val="0"/>
        <w:adjustRightInd w:val="0"/>
        <w:spacing w:line="480" w:lineRule="auto"/>
        <w:rPr>
          <w:color w:val="000000"/>
        </w:rPr>
      </w:pPr>
    </w:p>
    <w:p w14:paraId="72B7FB9C" w14:textId="0841B5AB" w:rsidR="000259B1" w:rsidRPr="00FA5E61" w:rsidRDefault="008C6F05" w:rsidP="00FA5E61">
      <w:pPr>
        <w:autoSpaceDE w:val="0"/>
        <w:autoSpaceDN w:val="0"/>
        <w:adjustRightInd w:val="0"/>
        <w:spacing w:line="480" w:lineRule="auto"/>
      </w:pPr>
      <w:r>
        <w:rPr>
          <w:color w:val="000000"/>
        </w:rPr>
        <w:t xml:space="preserve">In </w:t>
      </w:r>
      <w:r w:rsidR="000259B1" w:rsidRPr="00447517">
        <w:rPr>
          <w:color w:val="000000"/>
        </w:rPr>
        <w:t>conclu</w:t>
      </w:r>
      <w:r>
        <w:rPr>
          <w:color w:val="000000"/>
        </w:rPr>
        <w:t>sion,</w:t>
      </w:r>
      <w:r w:rsidR="000259B1" w:rsidRPr="00447517">
        <w:rPr>
          <w:color w:val="000000"/>
        </w:rPr>
        <w:t xml:space="preserve"> this </w:t>
      </w:r>
      <w:r>
        <w:rPr>
          <w:color w:val="000000"/>
        </w:rPr>
        <w:t>H</w:t>
      </w:r>
      <w:r w:rsidR="000259B1" w:rsidRPr="00447517">
        <w:rPr>
          <w:color w:val="000000"/>
        </w:rPr>
        <w:t xml:space="preserve">onors thesis </w:t>
      </w:r>
      <w:r w:rsidR="00A121CC">
        <w:rPr>
          <w:color w:val="000000"/>
        </w:rPr>
        <w:t xml:space="preserve">demonstrates the existence the existence of </w:t>
      </w:r>
      <w:r w:rsidR="002668F3" w:rsidRPr="002668F3">
        <w:t xml:space="preserve">common mechanistic denominators for some or all emerging therapies </w:t>
      </w:r>
      <w:r w:rsidR="00E04BB9">
        <w:t xml:space="preserve">in </w:t>
      </w:r>
      <w:r w:rsidR="002668F3" w:rsidRPr="002668F3">
        <w:t>PTSD</w:t>
      </w:r>
      <w:r w:rsidR="00937E0F">
        <w:t xml:space="preserve">. Every intervention depicted in my treatment regime </w:t>
      </w:r>
      <w:r w:rsidR="00241F70">
        <w:t xml:space="preserve">(see </w:t>
      </w:r>
      <w:r w:rsidR="00937E0F">
        <w:t>Fig</w:t>
      </w:r>
      <w:r w:rsidR="00241F70">
        <w:t>s</w:t>
      </w:r>
      <w:r w:rsidR="00937E0F">
        <w:t xml:space="preserve">. </w:t>
      </w:r>
      <w:r w:rsidR="00A121CC">
        <w:t>6</w:t>
      </w:r>
      <w:r w:rsidR="00241F70">
        <w:t xml:space="preserve">,7) </w:t>
      </w:r>
      <w:r w:rsidR="007B4AF2">
        <w:t xml:space="preserve">has the potential to ameliorate </w:t>
      </w:r>
      <w:r w:rsidR="00691321">
        <w:t>chronic inflammation and the resulting neurological damage</w:t>
      </w:r>
      <w:r w:rsidR="007B4AF2">
        <w:t>.</w:t>
      </w:r>
      <w:r w:rsidR="00691321">
        <w:t xml:space="preserve"> </w:t>
      </w:r>
      <w:r w:rsidR="0067724B">
        <w:t xml:space="preserve">This Honors thesis also </w:t>
      </w:r>
      <w:r w:rsidR="0004503E">
        <w:t>illustrates</w:t>
      </w:r>
      <w:r w:rsidR="0067724B">
        <w:t xml:space="preserve"> </w:t>
      </w:r>
      <w:r w:rsidR="000930E5">
        <w:t>that chronic inflammation</w:t>
      </w:r>
      <w:r w:rsidR="002413EF">
        <w:t xml:space="preserve"> plays a key role</w:t>
      </w:r>
      <w:r w:rsidR="000930E5">
        <w:t xml:space="preserve"> in PTSD symptomology. </w:t>
      </w:r>
      <w:r w:rsidR="00FA5E61">
        <w:t xml:space="preserve">Although </w:t>
      </w:r>
      <w:r w:rsidR="00367703">
        <w:t>PTSD is</w:t>
      </w:r>
      <w:r w:rsidR="00DB5315">
        <w:t xml:space="preserve"> understudied, the </w:t>
      </w:r>
      <w:r w:rsidR="00367703">
        <w:t>research</w:t>
      </w:r>
      <w:r w:rsidR="009C55AF">
        <w:t xml:space="preserve"> reviewed here</w:t>
      </w:r>
      <w:r w:rsidR="00367703">
        <w:t xml:space="preserve"> indicat</w:t>
      </w:r>
      <w:r w:rsidR="009C55AF">
        <w:t>es</w:t>
      </w:r>
      <w:r w:rsidR="00367703">
        <w:t xml:space="preserve"> the potential </w:t>
      </w:r>
      <w:r w:rsidR="004F6057">
        <w:t xml:space="preserve">for </w:t>
      </w:r>
      <w:r w:rsidR="009C55AF">
        <w:t xml:space="preserve">a combination of </w:t>
      </w:r>
      <w:r w:rsidR="004F6057">
        <w:t xml:space="preserve">treatment interventions to </w:t>
      </w:r>
      <w:r w:rsidR="009D34CC">
        <w:t xml:space="preserve">have multiplicative benefits. </w:t>
      </w:r>
      <w:r w:rsidR="001832F3">
        <w:t xml:space="preserve">Future </w:t>
      </w:r>
      <w:r w:rsidR="009D34CC">
        <w:t>research is needed to test the promise of such a system in the hope to devise</w:t>
      </w:r>
      <w:r w:rsidR="004F6057">
        <w:t xml:space="preserve"> </w:t>
      </w:r>
      <w:r w:rsidR="009D34CC">
        <w:t>n</w:t>
      </w:r>
      <w:r w:rsidR="00FD1A1B">
        <w:t xml:space="preserve">ovel </w:t>
      </w:r>
      <w:r w:rsidR="00892873">
        <w:t xml:space="preserve">treatments with </w:t>
      </w:r>
      <w:r w:rsidR="00FD1A1B">
        <w:t xml:space="preserve">the potential to restore the livelihoods of millions of people across the globe </w:t>
      </w:r>
      <w:r w:rsidR="008A3121">
        <w:t>and deepen our understanding</w:t>
      </w:r>
      <w:r w:rsidR="00892873">
        <w:t>.</w:t>
      </w:r>
    </w:p>
    <w:p w14:paraId="5D89211B" w14:textId="77777777" w:rsidR="00304FBA" w:rsidRDefault="00304FBA" w:rsidP="00304FBA">
      <w:pPr>
        <w:pStyle w:val="ListParagraph"/>
        <w:spacing w:line="480" w:lineRule="auto"/>
        <w:ind w:left="360"/>
        <w:rPr>
          <w:b/>
          <w:bCs/>
        </w:rPr>
      </w:pPr>
    </w:p>
    <w:p w14:paraId="40C75B09" w14:textId="77777777" w:rsidR="00304FBA" w:rsidRDefault="00304FBA" w:rsidP="00304FBA">
      <w:pPr>
        <w:pStyle w:val="ListParagraph"/>
        <w:spacing w:line="480" w:lineRule="auto"/>
        <w:ind w:left="360"/>
        <w:rPr>
          <w:b/>
          <w:bCs/>
        </w:rPr>
      </w:pPr>
    </w:p>
    <w:p w14:paraId="7A084346" w14:textId="77777777" w:rsidR="00304FBA" w:rsidRDefault="00304FBA" w:rsidP="00304FBA">
      <w:pPr>
        <w:pStyle w:val="ListParagraph"/>
        <w:spacing w:line="480" w:lineRule="auto"/>
        <w:ind w:left="360"/>
        <w:rPr>
          <w:b/>
          <w:bCs/>
        </w:rPr>
      </w:pPr>
    </w:p>
    <w:p w14:paraId="534F3DB4" w14:textId="77777777" w:rsidR="00304FBA" w:rsidRDefault="00304FBA" w:rsidP="00304FBA">
      <w:pPr>
        <w:pStyle w:val="ListParagraph"/>
        <w:spacing w:line="480" w:lineRule="auto"/>
        <w:ind w:left="360"/>
        <w:rPr>
          <w:b/>
          <w:bCs/>
        </w:rPr>
      </w:pPr>
    </w:p>
    <w:p w14:paraId="51F928BF" w14:textId="77777777" w:rsidR="00304FBA" w:rsidRDefault="00304FBA" w:rsidP="00304FBA">
      <w:pPr>
        <w:pStyle w:val="ListParagraph"/>
        <w:spacing w:line="480" w:lineRule="auto"/>
        <w:ind w:left="360"/>
        <w:rPr>
          <w:b/>
          <w:bCs/>
        </w:rPr>
      </w:pPr>
    </w:p>
    <w:p w14:paraId="5EAA7CB3" w14:textId="02A18BFD" w:rsidR="00304FBA" w:rsidRDefault="00304FBA" w:rsidP="009816C3">
      <w:pPr>
        <w:spacing w:line="480" w:lineRule="auto"/>
        <w:rPr>
          <w:b/>
          <w:bCs/>
        </w:rPr>
      </w:pPr>
    </w:p>
    <w:p w14:paraId="0A841E56" w14:textId="098C9048" w:rsidR="0004503E" w:rsidRDefault="0004503E" w:rsidP="009816C3">
      <w:pPr>
        <w:spacing w:line="480" w:lineRule="auto"/>
        <w:rPr>
          <w:b/>
          <w:bCs/>
        </w:rPr>
      </w:pPr>
    </w:p>
    <w:p w14:paraId="5BFEAD59" w14:textId="77777777" w:rsidR="00892873" w:rsidRPr="009816C3" w:rsidRDefault="00892873" w:rsidP="009816C3">
      <w:pPr>
        <w:spacing w:line="480" w:lineRule="auto"/>
        <w:rPr>
          <w:b/>
          <w:bCs/>
        </w:rPr>
      </w:pPr>
    </w:p>
    <w:p w14:paraId="12BD605B" w14:textId="5BE30982" w:rsidR="00304FBA" w:rsidRDefault="00304FBA" w:rsidP="00304FBA">
      <w:pPr>
        <w:pStyle w:val="ListParagraph"/>
        <w:spacing w:line="480" w:lineRule="auto"/>
        <w:ind w:left="360"/>
        <w:rPr>
          <w:b/>
          <w:bCs/>
        </w:rPr>
      </w:pPr>
    </w:p>
    <w:p w14:paraId="2FF09665" w14:textId="3BC6762F" w:rsidR="001832F3" w:rsidRDefault="001832F3" w:rsidP="00304FBA">
      <w:pPr>
        <w:pStyle w:val="ListParagraph"/>
        <w:spacing w:line="480" w:lineRule="auto"/>
        <w:ind w:left="360"/>
        <w:rPr>
          <w:b/>
          <w:bCs/>
        </w:rPr>
      </w:pPr>
    </w:p>
    <w:p w14:paraId="47B0CC94" w14:textId="64A52BFF" w:rsidR="001832F3" w:rsidRDefault="001832F3" w:rsidP="00304FBA">
      <w:pPr>
        <w:pStyle w:val="ListParagraph"/>
        <w:spacing w:line="480" w:lineRule="auto"/>
        <w:ind w:left="360"/>
        <w:rPr>
          <w:b/>
          <w:bCs/>
        </w:rPr>
      </w:pPr>
    </w:p>
    <w:p w14:paraId="2F95B47F" w14:textId="77777777" w:rsidR="001832F3" w:rsidRDefault="001832F3" w:rsidP="00304FBA">
      <w:pPr>
        <w:pStyle w:val="ListParagraph"/>
        <w:spacing w:line="480" w:lineRule="auto"/>
        <w:ind w:left="360"/>
        <w:rPr>
          <w:b/>
          <w:bCs/>
        </w:rPr>
      </w:pPr>
    </w:p>
    <w:p w14:paraId="27AFA062" w14:textId="77777777" w:rsidR="00075974" w:rsidRDefault="00075974" w:rsidP="00304FBA">
      <w:pPr>
        <w:pStyle w:val="ListParagraph"/>
        <w:spacing w:line="480" w:lineRule="auto"/>
        <w:ind w:left="360"/>
        <w:rPr>
          <w:b/>
          <w:bCs/>
        </w:rPr>
      </w:pPr>
    </w:p>
    <w:p w14:paraId="63FE12AC" w14:textId="4D6EDB85" w:rsidR="002725ED" w:rsidRPr="00304FBA" w:rsidRDefault="00973EBA" w:rsidP="00304FBA">
      <w:pPr>
        <w:pStyle w:val="ListParagraph"/>
        <w:numPr>
          <w:ilvl w:val="0"/>
          <w:numId w:val="4"/>
        </w:numPr>
        <w:spacing w:line="480" w:lineRule="auto"/>
        <w:rPr>
          <w:b/>
          <w:bCs/>
        </w:rPr>
      </w:pPr>
      <w:r w:rsidRPr="00304FBA">
        <w:rPr>
          <w:b/>
          <w:bCs/>
        </w:rPr>
        <w:lastRenderedPageBreak/>
        <w:t>Acknowledgements</w:t>
      </w:r>
    </w:p>
    <w:p w14:paraId="733FC8F2" w14:textId="77777777" w:rsidR="00D6091B" w:rsidRDefault="00D6091B" w:rsidP="00304FBA">
      <w:pPr>
        <w:spacing w:line="480" w:lineRule="auto"/>
      </w:pPr>
    </w:p>
    <w:p w14:paraId="38A9D061" w14:textId="1CA4BC92" w:rsidR="00366F3E" w:rsidRDefault="00304FBA" w:rsidP="00304FBA">
      <w:pPr>
        <w:spacing w:line="480" w:lineRule="auto"/>
      </w:pPr>
      <w:r w:rsidRPr="00304FBA">
        <w:t>I</w:t>
      </w:r>
      <w:r w:rsidR="00565374">
        <w:t xml:space="preserve"> would </w:t>
      </w:r>
      <w:r w:rsidRPr="00304FBA">
        <w:t xml:space="preserve">like to </w:t>
      </w:r>
      <w:r w:rsidR="00565374">
        <w:t>exten</w:t>
      </w:r>
      <w:r w:rsidR="00E471EE">
        <w:t>d</w:t>
      </w:r>
      <w:r w:rsidR="00565374">
        <w:t xml:space="preserve"> my deepest </w:t>
      </w:r>
      <w:r w:rsidR="0030532E">
        <w:t>sense of appreciatio</w:t>
      </w:r>
      <w:r w:rsidR="00502A10">
        <w:t>n</w:t>
      </w:r>
      <w:r w:rsidR="0030532E">
        <w:t xml:space="preserve"> towards</w:t>
      </w:r>
      <w:r w:rsidRPr="00304FBA">
        <w:t xml:space="preserve"> Barbara </w:t>
      </w:r>
      <w:proofErr w:type="spellStart"/>
      <w:r w:rsidRPr="00304FBA">
        <w:t>Demmig</w:t>
      </w:r>
      <w:proofErr w:type="spellEnd"/>
      <w:r w:rsidRPr="00304FBA">
        <w:t xml:space="preserve">-Adams for encouraging me to </w:t>
      </w:r>
      <w:r w:rsidR="00914395">
        <w:t>pursue</w:t>
      </w:r>
      <w:r w:rsidRPr="00304FBA">
        <w:t xml:space="preserve"> a</w:t>
      </w:r>
      <w:r w:rsidR="00914395">
        <w:t>n honors</w:t>
      </w:r>
      <w:r w:rsidRPr="00304FBA">
        <w:t xml:space="preserve"> thesis in a topic I</w:t>
      </w:r>
      <w:r w:rsidR="00565FD6">
        <w:t xml:space="preserve"> am</w:t>
      </w:r>
      <w:r w:rsidRPr="00304FBA">
        <w:t xml:space="preserve"> passionate about</w:t>
      </w:r>
      <w:r w:rsidR="00F91678">
        <w:t xml:space="preserve">. </w:t>
      </w:r>
      <w:r w:rsidR="0055481C">
        <w:t xml:space="preserve">Without her compassionate attitude and her </w:t>
      </w:r>
      <w:r w:rsidR="007B48A2">
        <w:t>bountiful knowledge</w:t>
      </w:r>
      <w:r w:rsidR="00366F3E">
        <w:t>,</w:t>
      </w:r>
      <w:r w:rsidR="007B48A2">
        <w:t xml:space="preserve"> my </w:t>
      </w:r>
      <w:r w:rsidR="00566E2F">
        <w:t>honors thesis would not have been possible.</w:t>
      </w:r>
      <w:r w:rsidR="00A37467">
        <w:t xml:space="preserve"> </w:t>
      </w:r>
      <w:r w:rsidR="00D6091B">
        <w:t xml:space="preserve">I am especially thankful for the countless hours you spent editing my rough drafts, investing </w:t>
      </w:r>
      <w:r w:rsidR="00CB2EB1">
        <w:t>immense amounts of</w:t>
      </w:r>
      <w:r w:rsidR="00D6091B">
        <w:t xml:space="preserve"> </w:t>
      </w:r>
      <w:r w:rsidR="00E41C50">
        <w:t>energy into</w:t>
      </w:r>
      <w:r w:rsidR="00CB2EB1">
        <w:t xml:space="preserve"> furthering my</w:t>
      </w:r>
      <w:r w:rsidR="00E41C50">
        <w:t xml:space="preserve"> academic career, </w:t>
      </w:r>
      <w:r w:rsidR="00CB2EB1">
        <w:t xml:space="preserve">and always managing to </w:t>
      </w:r>
      <w:r w:rsidR="008841CF">
        <w:t xml:space="preserve">remain faithful throughout the whole process. </w:t>
      </w:r>
      <w:r w:rsidR="000E7B4A">
        <w:t xml:space="preserve">Your persistent guidance will have an everlasting impact on me as I continue my academic journey. </w:t>
      </w:r>
      <w:r w:rsidR="00077677">
        <w:t>I am forever grateful.</w:t>
      </w:r>
    </w:p>
    <w:p w14:paraId="79811179" w14:textId="77777777" w:rsidR="00077677" w:rsidRDefault="00077677" w:rsidP="00304FBA">
      <w:pPr>
        <w:spacing w:line="480" w:lineRule="auto"/>
      </w:pPr>
    </w:p>
    <w:p w14:paraId="639099B4" w14:textId="0BF15B2E" w:rsidR="00304FBA" w:rsidRDefault="00304FBA" w:rsidP="00304FBA">
      <w:pPr>
        <w:spacing w:line="480" w:lineRule="auto"/>
      </w:pPr>
      <w:r w:rsidRPr="00304FBA">
        <w:t xml:space="preserve">I’d </w:t>
      </w:r>
      <w:r w:rsidR="00077677">
        <w:t xml:space="preserve">also </w:t>
      </w:r>
      <w:r w:rsidRPr="00304FBA">
        <w:t xml:space="preserve">like to thank my committee members: </w:t>
      </w:r>
      <w:r w:rsidR="00077677">
        <w:t>Christopher Lowry</w:t>
      </w:r>
      <w:r w:rsidRPr="00304FBA">
        <w:t xml:space="preserve">, Pieter Johnson, and Barbara </w:t>
      </w:r>
      <w:proofErr w:type="spellStart"/>
      <w:r w:rsidRPr="00304FBA">
        <w:t>Demmig</w:t>
      </w:r>
      <w:proofErr w:type="spellEnd"/>
      <w:r w:rsidRPr="00304FBA">
        <w:t>-Adams, for</w:t>
      </w:r>
      <w:r w:rsidR="00843AC7">
        <w:t xml:space="preserve"> also providing the support I needed during this </w:t>
      </w:r>
      <w:r w:rsidR="00211B6C">
        <w:t xml:space="preserve">process. </w:t>
      </w:r>
      <w:r w:rsidRPr="00304FBA">
        <w:t xml:space="preserve"> </w:t>
      </w:r>
      <w:r w:rsidR="00211B6C">
        <w:t xml:space="preserve">Every committee member </w:t>
      </w:r>
      <w:r w:rsidRPr="00304FBA">
        <w:t>individually influenc</w:t>
      </w:r>
      <w:r w:rsidR="00F8268C">
        <w:t xml:space="preserve">ed </w:t>
      </w:r>
      <w:r w:rsidRPr="00304FBA">
        <w:t xml:space="preserve">my course of study </w:t>
      </w:r>
      <w:r w:rsidR="00F8268C">
        <w:t xml:space="preserve">here </w:t>
      </w:r>
      <w:r w:rsidRPr="00304FBA">
        <w:t>at the University of Colorado at Boulder</w:t>
      </w:r>
      <w:r w:rsidR="00F8268C">
        <w:t xml:space="preserve">. </w:t>
      </w:r>
      <w:r w:rsidR="00CD5FA0">
        <w:t xml:space="preserve">There was so much advice given to me along the way and I learned so much thanks to my wonderful committee. </w:t>
      </w:r>
      <w:r w:rsidR="00DF1973">
        <w:t>Your contributions ha</w:t>
      </w:r>
      <w:r w:rsidR="008B25AD">
        <w:t>ve resonated</w:t>
      </w:r>
      <w:r w:rsidR="00DF1973">
        <w:t xml:space="preserve"> </w:t>
      </w:r>
      <w:r w:rsidR="00D047DF">
        <w:t>in the most brilliant ways</w:t>
      </w:r>
      <w:r w:rsidR="00340B4B">
        <w:t xml:space="preserve">; for that, I am forever grateful. </w:t>
      </w:r>
    </w:p>
    <w:p w14:paraId="61E97FAA" w14:textId="55D3904C" w:rsidR="00340B4B" w:rsidRDefault="00340B4B" w:rsidP="00304FBA">
      <w:pPr>
        <w:spacing w:line="480" w:lineRule="auto"/>
      </w:pPr>
    </w:p>
    <w:p w14:paraId="305390E5" w14:textId="7127D095" w:rsidR="00340B4B" w:rsidRPr="00304FBA" w:rsidRDefault="00340B4B" w:rsidP="00304FBA">
      <w:pPr>
        <w:spacing w:line="480" w:lineRule="auto"/>
      </w:pPr>
      <w:r>
        <w:t xml:space="preserve">Lastly, I’d like to thank my </w:t>
      </w:r>
      <w:r w:rsidR="003E73B2">
        <w:t>loving</w:t>
      </w:r>
      <w:r>
        <w:t xml:space="preserve"> mother for </w:t>
      </w:r>
      <w:r w:rsidR="001F494A">
        <w:t>supporting me through</w:t>
      </w:r>
      <w:r w:rsidR="00546F59">
        <w:t>out</w:t>
      </w:r>
      <w:r w:rsidR="000B4BCF">
        <w:t xml:space="preserve"> my undergraduate journey here at CU. </w:t>
      </w:r>
      <w:r w:rsidR="00AA4F13">
        <w:t xml:space="preserve">Without her love and support I would </w:t>
      </w:r>
      <w:r w:rsidR="00A12BF4">
        <w:t xml:space="preserve">not have the opportunities </w:t>
      </w:r>
      <w:r w:rsidR="002015DF">
        <w:t>that I have today. You always managed to keep</w:t>
      </w:r>
      <w:r w:rsidR="008008E7">
        <w:t xml:space="preserve"> my heart filled with joy and my tummy even more full! </w:t>
      </w:r>
      <w:r w:rsidR="00D95886">
        <w:t xml:space="preserve">Thanks for being so awesome Mom, I love you! </w:t>
      </w:r>
    </w:p>
    <w:p w14:paraId="51FFCC5D" w14:textId="52365510" w:rsidR="00973EBA" w:rsidRPr="00304FBA" w:rsidRDefault="00973EBA" w:rsidP="00304FBA">
      <w:pPr>
        <w:spacing w:line="480" w:lineRule="auto"/>
      </w:pPr>
    </w:p>
    <w:p w14:paraId="096A242D" w14:textId="1F79E1A3" w:rsidR="00304FBA" w:rsidRDefault="00304FBA" w:rsidP="00973EBA">
      <w:pPr>
        <w:spacing w:line="480" w:lineRule="auto"/>
        <w:rPr>
          <w:b/>
          <w:bCs/>
        </w:rPr>
      </w:pPr>
    </w:p>
    <w:p w14:paraId="21D1E749" w14:textId="77777777" w:rsidR="00D95886" w:rsidRPr="00973EBA" w:rsidRDefault="00D95886" w:rsidP="00973EBA">
      <w:pPr>
        <w:spacing w:line="480" w:lineRule="auto"/>
        <w:rPr>
          <w:b/>
          <w:bCs/>
        </w:rPr>
      </w:pPr>
    </w:p>
    <w:p w14:paraId="0B14DA80" w14:textId="2F207D01" w:rsidR="00ED2971" w:rsidRPr="00755B32" w:rsidRDefault="00ED2971" w:rsidP="00755B32">
      <w:pPr>
        <w:pStyle w:val="ListParagraph"/>
        <w:numPr>
          <w:ilvl w:val="0"/>
          <w:numId w:val="4"/>
        </w:numPr>
        <w:spacing w:line="480" w:lineRule="auto"/>
        <w:rPr>
          <w:b/>
          <w:bCs/>
        </w:rPr>
      </w:pPr>
      <w:r w:rsidRPr="00755B32">
        <w:rPr>
          <w:b/>
          <w:bCs/>
        </w:rPr>
        <w:t xml:space="preserve">Bibliography </w:t>
      </w:r>
    </w:p>
    <w:p w14:paraId="722DDD9B" w14:textId="77777777" w:rsidR="00ED2971" w:rsidRPr="00ED2971" w:rsidRDefault="00ED2971" w:rsidP="007A1D40">
      <w:pPr>
        <w:pStyle w:val="ListParagraph"/>
        <w:spacing w:line="480" w:lineRule="auto"/>
        <w:rPr>
          <w:rFonts w:ascii="Times New Roman" w:eastAsia="Times New Roman" w:hAnsi="Times New Roman"/>
          <w:b/>
          <w:bCs/>
        </w:rPr>
      </w:pPr>
    </w:p>
    <w:p w14:paraId="6E2529F9" w14:textId="7CBD610B" w:rsidR="00263E2C" w:rsidRPr="00C71E80" w:rsidRDefault="0019454F" w:rsidP="00263E2C">
      <w:pPr>
        <w:pStyle w:val="Bibliography"/>
        <w:rPr>
          <w:rFonts w:ascii="Times New Roman" w:hAnsi="Times New Roman"/>
        </w:rPr>
      </w:pPr>
      <w:r w:rsidRPr="00C71E80">
        <w:rPr>
          <w:rFonts w:ascii="Times New Roman" w:hAnsi="Times New Roman"/>
        </w:rPr>
        <w:fldChar w:fldCharType="begin"/>
      </w:r>
      <w:r w:rsidR="00263E2C" w:rsidRPr="00C71E80">
        <w:rPr>
          <w:rFonts w:ascii="Times New Roman" w:hAnsi="Times New Roman"/>
        </w:rPr>
        <w:instrText xml:space="preserve"> ADDIN ZOTERO_BIBL {"uncited":[],"omitted":[],"custom":[]} CSL_BIBLIOGRAPHY </w:instrText>
      </w:r>
      <w:r w:rsidRPr="00C71E80">
        <w:rPr>
          <w:rFonts w:ascii="Times New Roman" w:hAnsi="Times New Roman"/>
        </w:rPr>
        <w:fldChar w:fldCharType="separate"/>
      </w:r>
      <w:r w:rsidR="00263E2C" w:rsidRPr="00C71E80">
        <w:rPr>
          <w:rFonts w:ascii="Times New Roman" w:hAnsi="Times New Roman"/>
        </w:rPr>
        <w:t xml:space="preserve">Abdallah G, Averill A, </w:t>
      </w:r>
      <w:proofErr w:type="spellStart"/>
      <w:r w:rsidR="00263E2C" w:rsidRPr="00C71E80">
        <w:rPr>
          <w:rFonts w:ascii="Times New Roman" w:hAnsi="Times New Roman"/>
        </w:rPr>
        <w:t>Akiki</w:t>
      </w:r>
      <w:proofErr w:type="spellEnd"/>
      <w:r w:rsidR="00263E2C" w:rsidRPr="00C71E80">
        <w:rPr>
          <w:rFonts w:ascii="Times New Roman" w:hAnsi="Times New Roman"/>
        </w:rPr>
        <w:t xml:space="preserve"> J, Raza M, Averill L, Gomaa H, </w:t>
      </w:r>
      <w:proofErr w:type="spellStart"/>
      <w:r w:rsidR="00263E2C" w:rsidRPr="00C71E80">
        <w:rPr>
          <w:rFonts w:ascii="Times New Roman" w:hAnsi="Times New Roman"/>
        </w:rPr>
        <w:t>Adikey</w:t>
      </w:r>
      <w:proofErr w:type="spellEnd"/>
      <w:r w:rsidR="00263E2C" w:rsidRPr="00C71E80">
        <w:rPr>
          <w:rFonts w:ascii="Times New Roman" w:hAnsi="Times New Roman"/>
        </w:rPr>
        <w:t xml:space="preserve"> A, Krystal H. 2019. The Neurobiology and Pharmacotherapy of Posttraumatic Stress Disorder (PTSD). Annu</w:t>
      </w:r>
      <w:r w:rsidR="00ED5958">
        <w:rPr>
          <w:rFonts w:ascii="Times New Roman" w:hAnsi="Times New Roman"/>
        </w:rPr>
        <w:t>al</w:t>
      </w:r>
      <w:r w:rsidR="00263E2C" w:rsidRPr="00C71E80">
        <w:rPr>
          <w:rFonts w:ascii="Times New Roman" w:hAnsi="Times New Roman"/>
        </w:rPr>
        <w:t xml:space="preserve"> Rev</w:t>
      </w:r>
      <w:r w:rsidR="00ED5958">
        <w:rPr>
          <w:rFonts w:ascii="Times New Roman" w:hAnsi="Times New Roman"/>
        </w:rPr>
        <w:t>iew</w:t>
      </w:r>
      <w:r w:rsidR="00263E2C" w:rsidRPr="00C71E80">
        <w:rPr>
          <w:rFonts w:ascii="Times New Roman" w:hAnsi="Times New Roman"/>
        </w:rPr>
        <w:t xml:space="preserve"> Pharmacol</w:t>
      </w:r>
      <w:r w:rsidR="00ED5958">
        <w:rPr>
          <w:rFonts w:ascii="Times New Roman" w:hAnsi="Times New Roman"/>
        </w:rPr>
        <w:t>ogy</w:t>
      </w:r>
      <w:r w:rsidR="00263E2C" w:rsidRPr="00C71E80">
        <w:rPr>
          <w:rFonts w:ascii="Times New Roman" w:hAnsi="Times New Roman"/>
        </w:rPr>
        <w:t xml:space="preserve"> Toxicol</w:t>
      </w:r>
      <w:r w:rsidR="00ED5958">
        <w:rPr>
          <w:rFonts w:ascii="Times New Roman" w:hAnsi="Times New Roman"/>
        </w:rPr>
        <w:t>ogy</w:t>
      </w:r>
      <w:r w:rsidR="00263E2C" w:rsidRPr="00C71E80">
        <w:rPr>
          <w:rFonts w:ascii="Times New Roman" w:hAnsi="Times New Roman"/>
        </w:rPr>
        <w:t xml:space="preserve">. 59:171–189. </w:t>
      </w:r>
    </w:p>
    <w:p w14:paraId="22C81930" w14:textId="6D0EE018" w:rsidR="00263E2C" w:rsidRPr="00C71E80" w:rsidRDefault="00263E2C" w:rsidP="00263E2C">
      <w:pPr>
        <w:pStyle w:val="Bibliography"/>
        <w:rPr>
          <w:rFonts w:ascii="Times New Roman" w:hAnsi="Times New Roman"/>
        </w:rPr>
      </w:pPr>
      <w:r w:rsidRPr="00C71E80">
        <w:rPr>
          <w:rFonts w:ascii="Times New Roman" w:hAnsi="Times New Roman"/>
        </w:rPr>
        <w:t xml:space="preserve">Adams S, Adams B, </w:t>
      </w:r>
      <w:proofErr w:type="spellStart"/>
      <w:r w:rsidRPr="00C71E80">
        <w:rPr>
          <w:rFonts w:ascii="Times New Roman" w:hAnsi="Times New Roman"/>
        </w:rPr>
        <w:t>Wessman</w:t>
      </w:r>
      <w:proofErr w:type="spellEnd"/>
      <w:r w:rsidRPr="00C71E80">
        <w:rPr>
          <w:rFonts w:ascii="Times New Roman" w:hAnsi="Times New Roman"/>
        </w:rPr>
        <w:t xml:space="preserve"> A, </w:t>
      </w:r>
      <w:proofErr w:type="spellStart"/>
      <w:r w:rsidRPr="00C71E80">
        <w:rPr>
          <w:rFonts w:ascii="Times New Roman" w:hAnsi="Times New Roman"/>
        </w:rPr>
        <w:t>Demmig</w:t>
      </w:r>
      <w:proofErr w:type="spellEnd"/>
      <w:r w:rsidRPr="00C71E80">
        <w:rPr>
          <w:rFonts w:ascii="Times New Roman" w:hAnsi="Times New Roman"/>
        </w:rPr>
        <w:t xml:space="preserve">-Adams B. 2016. Nutritional Cues Tie Living Organisms to Their Environment and Its Sustainability. Front </w:t>
      </w:r>
      <w:proofErr w:type="spellStart"/>
      <w:r w:rsidRPr="00C71E80">
        <w:rPr>
          <w:rFonts w:ascii="Times New Roman" w:hAnsi="Times New Roman"/>
        </w:rPr>
        <w:t>Nutr</w:t>
      </w:r>
      <w:proofErr w:type="spellEnd"/>
      <w:r w:rsidRPr="00C71E80">
        <w:rPr>
          <w:rFonts w:ascii="Times New Roman" w:hAnsi="Times New Roman"/>
        </w:rPr>
        <w:t>. 3</w:t>
      </w:r>
      <w:r w:rsidR="00E60A9C">
        <w:rPr>
          <w:rFonts w:ascii="Times New Roman" w:hAnsi="Times New Roman"/>
        </w:rPr>
        <w:t>:28</w:t>
      </w:r>
      <w:r w:rsidRPr="00C71E80">
        <w:rPr>
          <w:rFonts w:ascii="Times New Roman" w:hAnsi="Times New Roman"/>
        </w:rPr>
        <w:t xml:space="preserve">. </w:t>
      </w:r>
    </w:p>
    <w:p w14:paraId="717B1748" w14:textId="6D58E710" w:rsidR="00263E2C" w:rsidRPr="00C71E80" w:rsidRDefault="00263E2C" w:rsidP="00263E2C">
      <w:pPr>
        <w:pStyle w:val="Bibliography"/>
        <w:rPr>
          <w:rFonts w:ascii="Times New Roman" w:hAnsi="Times New Roman"/>
        </w:rPr>
      </w:pPr>
      <w:proofErr w:type="spellStart"/>
      <w:r w:rsidRPr="00C71E80">
        <w:rPr>
          <w:rFonts w:ascii="Times New Roman" w:hAnsi="Times New Roman"/>
        </w:rPr>
        <w:t>Adetunji</w:t>
      </w:r>
      <w:proofErr w:type="spellEnd"/>
      <w:r w:rsidRPr="00C71E80">
        <w:rPr>
          <w:rFonts w:ascii="Times New Roman" w:hAnsi="Times New Roman"/>
        </w:rPr>
        <w:t xml:space="preserve"> B, Mathews M, Williams A, </w:t>
      </w:r>
      <w:proofErr w:type="spellStart"/>
      <w:r w:rsidRPr="00C71E80">
        <w:rPr>
          <w:rFonts w:ascii="Times New Roman" w:hAnsi="Times New Roman"/>
        </w:rPr>
        <w:t>Budur</w:t>
      </w:r>
      <w:proofErr w:type="spellEnd"/>
      <w:r w:rsidRPr="00C71E80">
        <w:rPr>
          <w:rFonts w:ascii="Times New Roman" w:hAnsi="Times New Roman"/>
        </w:rPr>
        <w:t xml:space="preserve"> K, Mathews M, Mahmud J, </w:t>
      </w:r>
      <w:proofErr w:type="spellStart"/>
      <w:r w:rsidRPr="00C71E80">
        <w:rPr>
          <w:rFonts w:ascii="Times New Roman" w:hAnsi="Times New Roman"/>
        </w:rPr>
        <w:t>Osinowo</w:t>
      </w:r>
      <w:proofErr w:type="spellEnd"/>
      <w:r w:rsidRPr="00C71E80">
        <w:rPr>
          <w:rFonts w:ascii="Times New Roman" w:hAnsi="Times New Roman"/>
        </w:rPr>
        <w:t xml:space="preserve"> T. 2005. Use of Antipsychotics in the Treatment of Post-Traumatic Stress Disorder. Psychiatry </w:t>
      </w:r>
      <w:proofErr w:type="spellStart"/>
      <w:r w:rsidRPr="00C71E80">
        <w:rPr>
          <w:rFonts w:ascii="Times New Roman" w:hAnsi="Times New Roman"/>
        </w:rPr>
        <w:t>Edgmont</w:t>
      </w:r>
      <w:proofErr w:type="spellEnd"/>
      <w:r w:rsidRPr="00C71E80">
        <w:rPr>
          <w:rFonts w:ascii="Times New Roman" w:hAnsi="Times New Roman"/>
        </w:rPr>
        <w:t>. 2(4):43–47.</w:t>
      </w:r>
    </w:p>
    <w:p w14:paraId="1A3924FD" w14:textId="6F9B8BC0" w:rsidR="00263E2C" w:rsidRPr="00C71E80" w:rsidRDefault="00263E2C" w:rsidP="00263E2C">
      <w:pPr>
        <w:pStyle w:val="Bibliography"/>
        <w:rPr>
          <w:rFonts w:ascii="Times New Roman" w:hAnsi="Times New Roman"/>
        </w:rPr>
      </w:pPr>
      <w:r w:rsidRPr="00C71E80">
        <w:rPr>
          <w:rFonts w:ascii="Times New Roman" w:hAnsi="Times New Roman"/>
        </w:rPr>
        <w:t xml:space="preserve">Aguilera G. 1998. Corticotropin Releasing Hormone, Receptor Regulation and the Stress Response. Trends Endocrinol </w:t>
      </w:r>
      <w:proofErr w:type="spellStart"/>
      <w:r w:rsidRPr="00C71E80">
        <w:rPr>
          <w:rFonts w:ascii="Times New Roman" w:hAnsi="Times New Roman"/>
        </w:rPr>
        <w:t>Metab</w:t>
      </w:r>
      <w:proofErr w:type="spellEnd"/>
      <w:r w:rsidRPr="00C71E80">
        <w:rPr>
          <w:rFonts w:ascii="Times New Roman" w:hAnsi="Times New Roman"/>
        </w:rPr>
        <w:t xml:space="preserve">. 9(8):329–336. </w:t>
      </w:r>
    </w:p>
    <w:p w14:paraId="1D4CACE5" w14:textId="6A79BA16" w:rsidR="00263E2C" w:rsidRPr="00C71E80" w:rsidRDefault="00263E2C" w:rsidP="00263E2C">
      <w:pPr>
        <w:pStyle w:val="Bibliography"/>
        <w:rPr>
          <w:rFonts w:ascii="Times New Roman" w:hAnsi="Times New Roman"/>
        </w:rPr>
      </w:pPr>
      <w:r w:rsidRPr="00C71E80">
        <w:rPr>
          <w:rFonts w:ascii="Times New Roman" w:hAnsi="Times New Roman"/>
        </w:rPr>
        <w:t xml:space="preserve">Aguilera M, Arias B, </w:t>
      </w:r>
      <w:proofErr w:type="spellStart"/>
      <w:r w:rsidRPr="00C71E80">
        <w:rPr>
          <w:rFonts w:ascii="Times New Roman" w:hAnsi="Times New Roman"/>
        </w:rPr>
        <w:t>Wichers</w:t>
      </w:r>
      <w:proofErr w:type="spellEnd"/>
      <w:r w:rsidRPr="00C71E80">
        <w:rPr>
          <w:rFonts w:ascii="Times New Roman" w:hAnsi="Times New Roman"/>
        </w:rPr>
        <w:t xml:space="preserve"> M, </w:t>
      </w:r>
      <w:proofErr w:type="spellStart"/>
      <w:r w:rsidRPr="00C71E80">
        <w:rPr>
          <w:rFonts w:ascii="Times New Roman" w:hAnsi="Times New Roman"/>
        </w:rPr>
        <w:t>Barrantes</w:t>
      </w:r>
      <w:proofErr w:type="spellEnd"/>
      <w:r w:rsidRPr="00C71E80">
        <w:rPr>
          <w:rFonts w:ascii="Times New Roman" w:hAnsi="Times New Roman"/>
        </w:rPr>
        <w:t xml:space="preserve">-Vidal N, Moya J, Villa H, </w:t>
      </w:r>
      <w:r w:rsidR="00C24C1E">
        <w:rPr>
          <w:rFonts w:ascii="Times New Roman" w:hAnsi="Times New Roman"/>
        </w:rPr>
        <w:t>V</w:t>
      </w:r>
      <w:r w:rsidRPr="00C71E80">
        <w:rPr>
          <w:rFonts w:ascii="Times New Roman" w:hAnsi="Times New Roman"/>
        </w:rPr>
        <w:t xml:space="preserve">an </w:t>
      </w:r>
      <w:proofErr w:type="spellStart"/>
      <w:r w:rsidRPr="00C71E80">
        <w:rPr>
          <w:rFonts w:ascii="Times New Roman" w:hAnsi="Times New Roman"/>
        </w:rPr>
        <w:t>Os</w:t>
      </w:r>
      <w:proofErr w:type="spellEnd"/>
      <w:r w:rsidRPr="00C71E80">
        <w:rPr>
          <w:rFonts w:ascii="Times New Roman" w:hAnsi="Times New Roman"/>
        </w:rPr>
        <w:t xml:space="preserve"> J, Ibáñez I, </w:t>
      </w:r>
      <w:proofErr w:type="spellStart"/>
      <w:r w:rsidRPr="00C71E80">
        <w:rPr>
          <w:rFonts w:ascii="Times New Roman" w:hAnsi="Times New Roman"/>
        </w:rPr>
        <w:t>Ruipérez</w:t>
      </w:r>
      <w:proofErr w:type="spellEnd"/>
      <w:r w:rsidRPr="00C71E80">
        <w:rPr>
          <w:rFonts w:ascii="Times New Roman" w:hAnsi="Times New Roman"/>
        </w:rPr>
        <w:t xml:space="preserve"> A, </w:t>
      </w:r>
      <w:proofErr w:type="spellStart"/>
      <w:r w:rsidRPr="00C71E80">
        <w:rPr>
          <w:rFonts w:ascii="Times New Roman" w:hAnsi="Times New Roman"/>
        </w:rPr>
        <w:t>Ortet</w:t>
      </w:r>
      <w:proofErr w:type="spellEnd"/>
      <w:r w:rsidRPr="00C71E80">
        <w:rPr>
          <w:rFonts w:ascii="Times New Roman" w:hAnsi="Times New Roman"/>
        </w:rPr>
        <w:t xml:space="preserve"> G, et al. 2009. Early </w:t>
      </w:r>
      <w:r w:rsidR="00AE12F7">
        <w:rPr>
          <w:rFonts w:ascii="Times New Roman" w:hAnsi="Times New Roman"/>
        </w:rPr>
        <w:t>A</w:t>
      </w:r>
      <w:r w:rsidRPr="00C71E80">
        <w:rPr>
          <w:rFonts w:ascii="Times New Roman" w:hAnsi="Times New Roman"/>
        </w:rPr>
        <w:t xml:space="preserve">dversity and 5-HTT/BDNF </w:t>
      </w:r>
      <w:r w:rsidR="00AE12F7">
        <w:rPr>
          <w:rFonts w:ascii="Times New Roman" w:hAnsi="Times New Roman"/>
        </w:rPr>
        <w:t>G</w:t>
      </w:r>
      <w:r w:rsidRPr="00C71E80">
        <w:rPr>
          <w:rFonts w:ascii="Times New Roman" w:hAnsi="Times New Roman"/>
        </w:rPr>
        <w:t xml:space="preserve">enes: </w:t>
      </w:r>
      <w:r w:rsidR="00AE12F7">
        <w:rPr>
          <w:rFonts w:ascii="Times New Roman" w:hAnsi="Times New Roman"/>
        </w:rPr>
        <w:t>N</w:t>
      </w:r>
      <w:r w:rsidRPr="00C71E80">
        <w:rPr>
          <w:rFonts w:ascii="Times New Roman" w:hAnsi="Times New Roman"/>
        </w:rPr>
        <w:t xml:space="preserve">ew </w:t>
      </w:r>
      <w:r w:rsidR="00AE12F7">
        <w:rPr>
          <w:rFonts w:ascii="Times New Roman" w:hAnsi="Times New Roman"/>
        </w:rPr>
        <w:t>E</w:t>
      </w:r>
      <w:r w:rsidRPr="00C71E80">
        <w:rPr>
          <w:rFonts w:ascii="Times New Roman" w:hAnsi="Times New Roman"/>
        </w:rPr>
        <w:t xml:space="preserve">vidence of </w:t>
      </w:r>
      <w:r w:rsidR="00AE12F7">
        <w:rPr>
          <w:rFonts w:ascii="Times New Roman" w:hAnsi="Times New Roman"/>
        </w:rPr>
        <w:t>G</w:t>
      </w:r>
      <w:r w:rsidRPr="00C71E80">
        <w:rPr>
          <w:rFonts w:ascii="Times New Roman" w:hAnsi="Times New Roman"/>
        </w:rPr>
        <w:t>ene-</w:t>
      </w:r>
      <w:r w:rsidR="00AE12F7">
        <w:rPr>
          <w:rFonts w:ascii="Times New Roman" w:hAnsi="Times New Roman"/>
        </w:rPr>
        <w:t>E</w:t>
      </w:r>
      <w:r w:rsidRPr="00C71E80">
        <w:rPr>
          <w:rFonts w:ascii="Times New Roman" w:hAnsi="Times New Roman"/>
        </w:rPr>
        <w:t xml:space="preserve">nvironment </w:t>
      </w:r>
      <w:r w:rsidR="00AE12F7">
        <w:rPr>
          <w:rFonts w:ascii="Times New Roman" w:hAnsi="Times New Roman"/>
        </w:rPr>
        <w:t>I</w:t>
      </w:r>
      <w:r w:rsidRPr="00C71E80">
        <w:rPr>
          <w:rFonts w:ascii="Times New Roman" w:hAnsi="Times New Roman"/>
        </w:rPr>
        <w:t xml:space="preserve">nteractions on </w:t>
      </w:r>
      <w:r w:rsidR="00AE12F7">
        <w:rPr>
          <w:rFonts w:ascii="Times New Roman" w:hAnsi="Times New Roman"/>
        </w:rPr>
        <w:t>De</w:t>
      </w:r>
      <w:r w:rsidRPr="00C71E80">
        <w:rPr>
          <w:rFonts w:ascii="Times New Roman" w:hAnsi="Times New Roman"/>
        </w:rPr>
        <w:t xml:space="preserve">pressive </w:t>
      </w:r>
      <w:r w:rsidR="00AE12F7">
        <w:rPr>
          <w:rFonts w:ascii="Times New Roman" w:hAnsi="Times New Roman"/>
        </w:rPr>
        <w:t>S</w:t>
      </w:r>
      <w:r w:rsidRPr="00C71E80">
        <w:rPr>
          <w:rFonts w:ascii="Times New Roman" w:hAnsi="Times New Roman"/>
        </w:rPr>
        <w:t xml:space="preserve">ymptoms in a </w:t>
      </w:r>
      <w:r w:rsidR="00AE12F7">
        <w:rPr>
          <w:rFonts w:ascii="Times New Roman" w:hAnsi="Times New Roman"/>
        </w:rPr>
        <w:t>G</w:t>
      </w:r>
      <w:r w:rsidRPr="00C71E80">
        <w:rPr>
          <w:rFonts w:ascii="Times New Roman" w:hAnsi="Times New Roman"/>
        </w:rPr>
        <w:t xml:space="preserve">eneral </w:t>
      </w:r>
      <w:r w:rsidR="00AE12F7">
        <w:rPr>
          <w:rFonts w:ascii="Times New Roman" w:hAnsi="Times New Roman"/>
        </w:rPr>
        <w:t>P</w:t>
      </w:r>
      <w:r w:rsidRPr="00C71E80">
        <w:rPr>
          <w:rFonts w:ascii="Times New Roman" w:hAnsi="Times New Roman"/>
        </w:rPr>
        <w:t xml:space="preserve">opulation. Psychol Med. 39(9):1425–1432. </w:t>
      </w:r>
    </w:p>
    <w:p w14:paraId="21917C66" w14:textId="6FE68720" w:rsidR="00263E2C" w:rsidRPr="00C71E80" w:rsidRDefault="00263E2C" w:rsidP="00263E2C">
      <w:pPr>
        <w:pStyle w:val="Bibliography"/>
        <w:rPr>
          <w:rFonts w:ascii="Times New Roman" w:hAnsi="Times New Roman"/>
        </w:rPr>
      </w:pPr>
      <w:proofErr w:type="spellStart"/>
      <w:r w:rsidRPr="00C71E80">
        <w:rPr>
          <w:rFonts w:ascii="Times New Roman" w:hAnsi="Times New Roman"/>
        </w:rPr>
        <w:t>Alquraan</w:t>
      </w:r>
      <w:proofErr w:type="spellEnd"/>
      <w:r w:rsidRPr="00C71E80">
        <w:rPr>
          <w:rFonts w:ascii="Times New Roman" w:hAnsi="Times New Roman"/>
        </w:rPr>
        <w:t xml:space="preserve"> L, </w:t>
      </w:r>
      <w:proofErr w:type="spellStart"/>
      <w:r w:rsidRPr="00C71E80">
        <w:rPr>
          <w:rFonts w:ascii="Times New Roman" w:hAnsi="Times New Roman"/>
        </w:rPr>
        <w:t>Alzoubi</w:t>
      </w:r>
      <w:proofErr w:type="spellEnd"/>
      <w:r w:rsidRPr="00C71E80">
        <w:rPr>
          <w:rFonts w:ascii="Times New Roman" w:hAnsi="Times New Roman"/>
        </w:rPr>
        <w:t xml:space="preserve"> H, Hammad H, </w:t>
      </w:r>
      <w:proofErr w:type="spellStart"/>
      <w:r w:rsidRPr="00C71E80">
        <w:rPr>
          <w:rFonts w:ascii="Times New Roman" w:hAnsi="Times New Roman"/>
        </w:rPr>
        <w:t>Rababa’h</w:t>
      </w:r>
      <w:proofErr w:type="spellEnd"/>
      <w:r w:rsidRPr="00C71E80">
        <w:rPr>
          <w:rFonts w:ascii="Times New Roman" w:hAnsi="Times New Roman"/>
        </w:rPr>
        <w:t xml:space="preserve"> Y, </w:t>
      </w:r>
      <w:proofErr w:type="spellStart"/>
      <w:r w:rsidRPr="00C71E80">
        <w:rPr>
          <w:rFonts w:ascii="Times New Roman" w:hAnsi="Times New Roman"/>
        </w:rPr>
        <w:t>Mayyas</w:t>
      </w:r>
      <w:proofErr w:type="spellEnd"/>
      <w:r w:rsidRPr="00C71E80">
        <w:rPr>
          <w:rFonts w:ascii="Times New Roman" w:hAnsi="Times New Roman"/>
        </w:rPr>
        <w:t xml:space="preserve"> F. 2019. Omega-3 Fatty Acids Prevent Post-Traumatic Stress Disorder-Induced Memory Impairment. Biomolecules. 9(3):100. </w:t>
      </w:r>
    </w:p>
    <w:p w14:paraId="655E192A" w14:textId="79DAB8ED" w:rsidR="00263E2C" w:rsidRPr="00C71E80" w:rsidRDefault="00263E2C" w:rsidP="00263E2C">
      <w:pPr>
        <w:pStyle w:val="Bibliography"/>
        <w:rPr>
          <w:rFonts w:ascii="Times New Roman" w:hAnsi="Times New Roman"/>
        </w:rPr>
      </w:pPr>
      <w:proofErr w:type="spellStart"/>
      <w:r w:rsidRPr="00C71E80">
        <w:rPr>
          <w:rFonts w:ascii="Times New Roman" w:hAnsi="Times New Roman"/>
        </w:rPr>
        <w:t>Andero</w:t>
      </w:r>
      <w:proofErr w:type="spellEnd"/>
      <w:r w:rsidRPr="00C71E80">
        <w:rPr>
          <w:rFonts w:ascii="Times New Roman" w:hAnsi="Times New Roman"/>
        </w:rPr>
        <w:t xml:space="preserve"> R, Ressler J. 2012. Fear </w:t>
      </w:r>
      <w:r w:rsidR="00F74BF7">
        <w:rPr>
          <w:rFonts w:ascii="Times New Roman" w:hAnsi="Times New Roman"/>
        </w:rPr>
        <w:t>E</w:t>
      </w:r>
      <w:r w:rsidRPr="00C71E80">
        <w:rPr>
          <w:rFonts w:ascii="Times New Roman" w:hAnsi="Times New Roman"/>
        </w:rPr>
        <w:t xml:space="preserve">xtinction and BDNF: </w:t>
      </w:r>
      <w:r w:rsidR="00F74BF7">
        <w:rPr>
          <w:rFonts w:ascii="Times New Roman" w:hAnsi="Times New Roman"/>
        </w:rPr>
        <w:t>Tr</w:t>
      </w:r>
      <w:r w:rsidRPr="00C71E80">
        <w:rPr>
          <w:rFonts w:ascii="Times New Roman" w:hAnsi="Times New Roman"/>
        </w:rPr>
        <w:t xml:space="preserve">anslating </w:t>
      </w:r>
      <w:r w:rsidR="00F74BF7">
        <w:rPr>
          <w:rFonts w:ascii="Times New Roman" w:hAnsi="Times New Roman"/>
        </w:rPr>
        <w:t>An</w:t>
      </w:r>
      <w:r w:rsidRPr="00C71E80">
        <w:rPr>
          <w:rFonts w:ascii="Times New Roman" w:hAnsi="Times New Roman"/>
        </w:rPr>
        <w:t xml:space="preserve">imal </w:t>
      </w:r>
      <w:r w:rsidR="00F74BF7">
        <w:rPr>
          <w:rFonts w:ascii="Times New Roman" w:hAnsi="Times New Roman"/>
        </w:rPr>
        <w:t>M</w:t>
      </w:r>
      <w:r w:rsidRPr="00C71E80">
        <w:rPr>
          <w:rFonts w:ascii="Times New Roman" w:hAnsi="Times New Roman"/>
        </w:rPr>
        <w:t xml:space="preserve">odels of PTSD to the </w:t>
      </w:r>
      <w:r w:rsidR="00F74BF7">
        <w:rPr>
          <w:rFonts w:ascii="Times New Roman" w:hAnsi="Times New Roman"/>
        </w:rPr>
        <w:t>C</w:t>
      </w:r>
      <w:r w:rsidRPr="00C71E80">
        <w:rPr>
          <w:rFonts w:ascii="Times New Roman" w:hAnsi="Times New Roman"/>
        </w:rPr>
        <w:t xml:space="preserve">linic. Genes Brain </w:t>
      </w:r>
      <w:proofErr w:type="spellStart"/>
      <w:r w:rsidRPr="00C71E80">
        <w:rPr>
          <w:rFonts w:ascii="Times New Roman" w:hAnsi="Times New Roman"/>
        </w:rPr>
        <w:t>Behav</w:t>
      </w:r>
      <w:proofErr w:type="spellEnd"/>
      <w:r w:rsidRPr="00C71E80">
        <w:rPr>
          <w:rFonts w:ascii="Times New Roman" w:hAnsi="Times New Roman"/>
        </w:rPr>
        <w:t xml:space="preserve">. 11(5):503–512. </w:t>
      </w:r>
    </w:p>
    <w:p w14:paraId="65F83E5E" w14:textId="1FAEB308" w:rsidR="00263E2C" w:rsidRPr="00C71E80" w:rsidRDefault="00263E2C" w:rsidP="00263E2C">
      <w:pPr>
        <w:pStyle w:val="Bibliography"/>
        <w:rPr>
          <w:rFonts w:ascii="Times New Roman" w:hAnsi="Times New Roman"/>
        </w:rPr>
      </w:pPr>
      <w:proofErr w:type="spellStart"/>
      <w:r w:rsidRPr="00C71E80">
        <w:rPr>
          <w:rFonts w:ascii="Times New Roman" w:hAnsi="Times New Roman"/>
        </w:rPr>
        <w:t>Ardalan</w:t>
      </w:r>
      <w:proofErr w:type="spellEnd"/>
      <w:r w:rsidRPr="00C71E80">
        <w:rPr>
          <w:rFonts w:ascii="Times New Roman" w:hAnsi="Times New Roman"/>
        </w:rPr>
        <w:t xml:space="preserve"> M, </w:t>
      </w:r>
      <w:proofErr w:type="spellStart"/>
      <w:r w:rsidRPr="00C71E80">
        <w:rPr>
          <w:rFonts w:ascii="Times New Roman" w:hAnsi="Times New Roman"/>
        </w:rPr>
        <w:t>Rafati</w:t>
      </w:r>
      <w:proofErr w:type="spellEnd"/>
      <w:r w:rsidRPr="00C71E80">
        <w:rPr>
          <w:rFonts w:ascii="Times New Roman" w:hAnsi="Times New Roman"/>
        </w:rPr>
        <w:t xml:space="preserve"> H, </w:t>
      </w:r>
      <w:proofErr w:type="spellStart"/>
      <w:r w:rsidRPr="00C71E80">
        <w:rPr>
          <w:rFonts w:ascii="Times New Roman" w:hAnsi="Times New Roman"/>
        </w:rPr>
        <w:t>Nyengaard</w:t>
      </w:r>
      <w:proofErr w:type="spellEnd"/>
      <w:r w:rsidRPr="00C71E80">
        <w:rPr>
          <w:rFonts w:ascii="Times New Roman" w:hAnsi="Times New Roman"/>
        </w:rPr>
        <w:t xml:space="preserve"> R, Wegener G. 2017. Rapid </w:t>
      </w:r>
      <w:r w:rsidR="00F74BF7">
        <w:rPr>
          <w:rFonts w:ascii="Times New Roman" w:hAnsi="Times New Roman"/>
        </w:rPr>
        <w:t>A</w:t>
      </w:r>
      <w:r w:rsidRPr="00C71E80">
        <w:rPr>
          <w:rFonts w:ascii="Times New Roman" w:hAnsi="Times New Roman"/>
        </w:rPr>
        <w:t xml:space="preserve">ntidepressant </w:t>
      </w:r>
      <w:r w:rsidR="00F74BF7">
        <w:rPr>
          <w:rFonts w:ascii="Times New Roman" w:hAnsi="Times New Roman"/>
        </w:rPr>
        <w:t>E</w:t>
      </w:r>
      <w:r w:rsidRPr="00C71E80">
        <w:rPr>
          <w:rFonts w:ascii="Times New Roman" w:hAnsi="Times New Roman"/>
        </w:rPr>
        <w:t xml:space="preserve">ffect of </w:t>
      </w:r>
      <w:r w:rsidR="00F74BF7">
        <w:rPr>
          <w:rFonts w:ascii="Times New Roman" w:hAnsi="Times New Roman"/>
        </w:rPr>
        <w:t>K</w:t>
      </w:r>
      <w:r w:rsidRPr="00C71E80">
        <w:rPr>
          <w:rFonts w:ascii="Times New Roman" w:hAnsi="Times New Roman"/>
        </w:rPr>
        <w:t xml:space="preserve">etamine </w:t>
      </w:r>
      <w:r w:rsidR="00F74BF7">
        <w:rPr>
          <w:rFonts w:ascii="Times New Roman" w:hAnsi="Times New Roman"/>
        </w:rPr>
        <w:t>C</w:t>
      </w:r>
      <w:r w:rsidRPr="00C71E80">
        <w:rPr>
          <w:rFonts w:ascii="Times New Roman" w:hAnsi="Times New Roman"/>
        </w:rPr>
        <w:t xml:space="preserve">orrelates with </w:t>
      </w:r>
      <w:r w:rsidR="00F74BF7">
        <w:rPr>
          <w:rFonts w:ascii="Times New Roman" w:hAnsi="Times New Roman"/>
        </w:rPr>
        <w:t>A</w:t>
      </w:r>
      <w:r w:rsidR="00F74BF7" w:rsidRPr="00C71E80">
        <w:rPr>
          <w:rFonts w:ascii="Times New Roman" w:hAnsi="Times New Roman"/>
        </w:rPr>
        <w:t>stroglia</w:t>
      </w:r>
      <w:r w:rsidRPr="00C71E80">
        <w:rPr>
          <w:rFonts w:ascii="Times New Roman" w:hAnsi="Times New Roman"/>
        </w:rPr>
        <w:t xml:space="preserve"> </w:t>
      </w:r>
      <w:r w:rsidR="00F74BF7">
        <w:rPr>
          <w:rFonts w:ascii="Times New Roman" w:hAnsi="Times New Roman"/>
        </w:rPr>
        <w:t>P</w:t>
      </w:r>
      <w:r w:rsidRPr="00C71E80">
        <w:rPr>
          <w:rFonts w:ascii="Times New Roman" w:hAnsi="Times New Roman"/>
        </w:rPr>
        <w:t xml:space="preserve">lasticity in the hippocampus. Br J </w:t>
      </w:r>
      <w:proofErr w:type="spellStart"/>
      <w:r w:rsidRPr="00C71E80">
        <w:rPr>
          <w:rFonts w:ascii="Times New Roman" w:hAnsi="Times New Roman"/>
        </w:rPr>
        <w:t>Pharmacol</w:t>
      </w:r>
      <w:proofErr w:type="spellEnd"/>
      <w:r w:rsidRPr="00C71E80">
        <w:rPr>
          <w:rFonts w:ascii="Times New Roman" w:hAnsi="Times New Roman"/>
        </w:rPr>
        <w:t xml:space="preserve">. 174(6):483–492. </w:t>
      </w:r>
    </w:p>
    <w:p w14:paraId="7F7D7B61" w14:textId="495F7EB9" w:rsidR="00263E2C" w:rsidRPr="00C71E80" w:rsidRDefault="00263E2C" w:rsidP="00263E2C">
      <w:pPr>
        <w:pStyle w:val="Bibliography"/>
        <w:rPr>
          <w:rFonts w:ascii="Times New Roman" w:hAnsi="Times New Roman"/>
        </w:rPr>
      </w:pPr>
      <w:proofErr w:type="spellStart"/>
      <w:r w:rsidRPr="00C71E80">
        <w:rPr>
          <w:rFonts w:ascii="Times New Roman" w:hAnsi="Times New Roman"/>
        </w:rPr>
        <w:t>Atsak</w:t>
      </w:r>
      <w:proofErr w:type="spellEnd"/>
      <w:r w:rsidRPr="00C71E80">
        <w:rPr>
          <w:rFonts w:ascii="Times New Roman" w:hAnsi="Times New Roman"/>
        </w:rPr>
        <w:t xml:space="preserve"> P, </w:t>
      </w:r>
      <w:proofErr w:type="spellStart"/>
      <w:r w:rsidRPr="00C71E80">
        <w:rPr>
          <w:rFonts w:ascii="Times New Roman" w:hAnsi="Times New Roman"/>
        </w:rPr>
        <w:t>Roozendaal</w:t>
      </w:r>
      <w:proofErr w:type="spellEnd"/>
      <w:r w:rsidRPr="00C71E80">
        <w:rPr>
          <w:rFonts w:ascii="Times New Roman" w:hAnsi="Times New Roman"/>
        </w:rPr>
        <w:t xml:space="preserve"> B, </w:t>
      </w:r>
      <w:proofErr w:type="spellStart"/>
      <w:r w:rsidRPr="00C71E80">
        <w:rPr>
          <w:rFonts w:ascii="Times New Roman" w:hAnsi="Times New Roman"/>
        </w:rPr>
        <w:t>Campolongo</w:t>
      </w:r>
      <w:proofErr w:type="spellEnd"/>
      <w:r w:rsidRPr="00C71E80">
        <w:rPr>
          <w:rFonts w:ascii="Times New Roman" w:hAnsi="Times New Roman"/>
        </w:rPr>
        <w:t xml:space="preserve"> P. 2012. Role of the </w:t>
      </w:r>
      <w:r w:rsidR="00E43F69">
        <w:rPr>
          <w:rFonts w:ascii="Times New Roman" w:hAnsi="Times New Roman"/>
        </w:rPr>
        <w:t>E</w:t>
      </w:r>
      <w:r w:rsidRPr="00C71E80">
        <w:rPr>
          <w:rFonts w:ascii="Times New Roman" w:hAnsi="Times New Roman"/>
        </w:rPr>
        <w:t xml:space="preserve">ndocannabinoid </w:t>
      </w:r>
      <w:r w:rsidR="00E43F69">
        <w:rPr>
          <w:rFonts w:ascii="Times New Roman" w:hAnsi="Times New Roman"/>
        </w:rPr>
        <w:t>S</w:t>
      </w:r>
      <w:r w:rsidRPr="00C71E80">
        <w:rPr>
          <w:rFonts w:ascii="Times New Roman" w:hAnsi="Times New Roman"/>
        </w:rPr>
        <w:t xml:space="preserve">ystem in </w:t>
      </w:r>
      <w:r w:rsidR="00E43F69">
        <w:rPr>
          <w:rFonts w:ascii="Times New Roman" w:hAnsi="Times New Roman"/>
        </w:rPr>
        <w:t>R</w:t>
      </w:r>
      <w:r w:rsidRPr="00C71E80">
        <w:rPr>
          <w:rFonts w:ascii="Times New Roman" w:hAnsi="Times New Roman"/>
        </w:rPr>
        <w:t xml:space="preserve">egulating </w:t>
      </w:r>
      <w:r w:rsidR="00E43F69">
        <w:rPr>
          <w:rFonts w:ascii="Times New Roman" w:hAnsi="Times New Roman"/>
        </w:rPr>
        <w:t>G</w:t>
      </w:r>
      <w:r w:rsidRPr="00C71E80">
        <w:rPr>
          <w:rFonts w:ascii="Times New Roman" w:hAnsi="Times New Roman"/>
        </w:rPr>
        <w:t xml:space="preserve">lucocorticoid </w:t>
      </w:r>
      <w:r w:rsidR="00E43F69">
        <w:rPr>
          <w:rFonts w:ascii="Times New Roman" w:hAnsi="Times New Roman"/>
        </w:rPr>
        <w:t>E</w:t>
      </w:r>
      <w:r w:rsidRPr="00C71E80">
        <w:rPr>
          <w:rFonts w:ascii="Times New Roman" w:hAnsi="Times New Roman"/>
        </w:rPr>
        <w:t xml:space="preserve">ffects on </w:t>
      </w:r>
      <w:r w:rsidR="00E43F69">
        <w:rPr>
          <w:rFonts w:ascii="Times New Roman" w:hAnsi="Times New Roman"/>
        </w:rPr>
        <w:t>M</w:t>
      </w:r>
      <w:r w:rsidRPr="00C71E80">
        <w:rPr>
          <w:rFonts w:ascii="Times New Roman" w:hAnsi="Times New Roman"/>
        </w:rPr>
        <w:t xml:space="preserve">emory for </w:t>
      </w:r>
      <w:r w:rsidR="00E43F69">
        <w:rPr>
          <w:rFonts w:ascii="Times New Roman" w:hAnsi="Times New Roman"/>
        </w:rPr>
        <w:t>E</w:t>
      </w:r>
      <w:r w:rsidRPr="00C71E80">
        <w:rPr>
          <w:rFonts w:ascii="Times New Roman" w:hAnsi="Times New Roman"/>
        </w:rPr>
        <w:t xml:space="preserve">motional </w:t>
      </w:r>
      <w:r w:rsidR="00E43F69">
        <w:rPr>
          <w:rFonts w:ascii="Times New Roman" w:hAnsi="Times New Roman"/>
        </w:rPr>
        <w:t>Ex</w:t>
      </w:r>
      <w:r w:rsidRPr="00C71E80">
        <w:rPr>
          <w:rFonts w:ascii="Times New Roman" w:hAnsi="Times New Roman"/>
        </w:rPr>
        <w:t xml:space="preserve">periences. Neuroscience. 204:104–116. </w:t>
      </w:r>
    </w:p>
    <w:p w14:paraId="0BF33346" w14:textId="0C16ECB6" w:rsidR="00263E2C" w:rsidRPr="00C71E80" w:rsidRDefault="00263E2C" w:rsidP="00263E2C">
      <w:pPr>
        <w:pStyle w:val="Bibliography"/>
        <w:rPr>
          <w:rFonts w:ascii="Times New Roman" w:hAnsi="Times New Roman"/>
        </w:rPr>
      </w:pPr>
      <w:proofErr w:type="spellStart"/>
      <w:r w:rsidRPr="00C71E80">
        <w:rPr>
          <w:rFonts w:ascii="Times New Roman" w:hAnsi="Times New Roman"/>
        </w:rPr>
        <w:t>Attari</w:t>
      </w:r>
      <w:proofErr w:type="spellEnd"/>
      <w:r w:rsidRPr="00C71E80">
        <w:rPr>
          <w:rFonts w:ascii="Times New Roman" w:hAnsi="Times New Roman"/>
        </w:rPr>
        <w:t xml:space="preserve"> A, </w:t>
      </w:r>
      <w:proofErr w:type="spellStart"/>
      <w:r w:rsidRPr="00C71E80">
        <w:rPr>
          <w:rFonts w:ascii="Times New Roman" w:hAnsi="Times New Roman"/>
        </w:rPr>
        <w:t>Rajabi</w:t>
      </w:r>
      <w:proofErr w:type="spellEnd"/>
      <w:r w:rsidRPr="00C71E80">
        <w:rPr>
          <w:rFonts w:ascii="Times New Roman" w:hAnsi="Times New Roman"/>
        </w:rPr>
        <w:t xml:space="preserve"> F, </w:t>
      </w:r>
      <w:proofErr w:type="spellStart"/>
      <w:r w:rsidRPr="00C71E80">
        <w:rPr>
          <w:rFonts w:ascii="Times New Roman" w:hAnsi="Times New Roman"/>
        </w:rPr>
        <w:t>Maracy</w:t>
      </w:r>
      <w:proofErr w:type="spellEnd"/>
      <w:r w:rsidRPr="00C71E80">
        <w:rPr>
          <w:rFonts w:ascii="Times New Roman" w:hAnsi="Times New Roman"/>
        </w:rPr>
        <w:t xml:space="preserve"> R. 2014. D-</w:t>
      </w:r>
      <w:proofErr w:type="spellStart"/>
      <w:r w:rsidRPr="00C71E80">
        <w:rPr>
          <w:rFonts w:ascii="Times New Roman" w:hAnsi="Times New Roman"/>
        </w:rPr>
        <w:t>cycloserine</w:t>
      </w:r>
      <w:proofErr w:type="spellEnd"/>
      <w:r w:rsidRPr="00C71E80">
        <w:rPr>
          <w:rFonts w:ascii="Times New Roman" w:hAnsi="Times New Roman"/>
        </w:rPr>
        <w:t xml:space="preserve"> for </w:t>
      </w:r>
      <w:r w:rsidR="00E43F69">
        <w:rPr>
          <w:rFonts w:ascii="Times New Roman" w:hAnsi="Times New Roman"/>
        </w:rPr>
        <w:t>T</w:t>
      </w:r>
      <w:r w:rsidRPr="00C71E80">
        <w:rPr>
          <w:rFonts w:ascii="Times New Roman" w:hAnsi="Times New Roman"/>
        </w:rPr>
        <w:t xml:space="preserve">reatment of </w:t>
      </w:r>
      <w:r w:rsidR="00E43F69">
        <w:rPr>
          <w:rFonts w:ascii="Times New Roman" w:hAnsi="Times New Roman"/>
        </w:rPr>
        <w:t>N</w:t>
      </w:r>
      <w:r w:rsidRPr="00C71E80">
        <w:rPr>
          <w:rFonts w:ascii="Times New Roman" w:hAnsi="Times New Roman"/>
        </w:rPr>
        <w:t xml:space="preserve">umbing and </w:t>
      </w:r>
      <w:r w:rsidR="00E43F69">
        <w:rPr>
          <w:rFonts w:ascii="Times New Roman" w:hAnsi="Times New Roman"/>
        </w:rPr>
        <w:t>A</w:t>
      </w:r>
      <w:r w:rsidRPr="00C71E80">
        <w:rPr>
          <w:rFonts w:ascii="Times New Roman" w:hAnsi="Times New Roman"/>
        </w:rPr>
        <w:t xml:space="preserve">voidance in </w:t>
      </w:r>
      <w:r w:rsidR="00E43F69">
        <w:rPr>
          <w:rFonts w:ascii="Times New Roman" w:hAnsi="Times New Roman"/>
        </w:rPr>
        <w:t>C</w:t>
      </w:r>
      <w:r w:rsidRPr="00C71E80">
        <w:rPr>
          <w:rFonts w:ascii="Times New Roman" w:hAnsi="Times New Roman"/>
        </w:rPr>
        <w:t xml:space="preserve">hronic </w:t>
      </w:r>
      <w:r w:rsidR="00E43F69">
        <w:rPr>
          <w:rFonts w:ascii="Times New Roman" w:hAnsi="Times New Roman"/>
        </w:rPr>
        <w:t>P</w:t>
      </w:r>
      <w:r w:rsidRPr="00C71E80">
        <w:rPr>
          <w:rFonts w:ascii="Times New Roman" w:hAnsi="Times New Roman"/>
        </w:rPr>
        <w:t>ost</w:t>
      </w:r>
      <w:r w:rsidR="00E43F69">
        <w:rPr>
          <w:rFonts w:ascii="Times New Roman" w:hAnsi="Times New Roman"/>
        </w:rPr>
        <w:t>-T</w:t>
      </w:r>
      <w:r w:rsidRPr="00C71E80">
        <w:rPr>
          <w:rFonts w:ascii="Times New Roman" w:hAnsi="Times New Roman"/>
        </w:rPr>
        <w:t xml:space="preserve">raumatic </w:t>
      </w:r>
      <w:r w:rsidR="00E43F69">
        <w:rPr>
          <w:rFonts w:ascii="Times New Roman" w:hAnsi="Times New Roman"/>
        </w:rPr>
        <w:t>S</w:t>
      </w:r>
      <w:r w:rsidRPr="00C71E80">
        <w:rPr>
          <w:rFonts w:ascii="Times New Roman" w:hAnsi="Times New Roman"/>
        </w:rPr>
        <w:t xml:space="preserve">tress </w:t>
      </w:r>
      <w:r w:rsidR="00E43F69">
        <w:rPr>
          <w:rFonts w:ascii="Times New Roman" w:hAnsi="Times New Roman"/>
        </w:rPr>
        <w:t>D</w:t>
      </w:r>
      <w:r w:rsidRPr="00C71E80">
        <w:rPr>
          <w:rFonts w:ascii="Times New Roman" w:hAnsi="Times New Roman"/>
        </w:rPr>
        <w:t xml:space="preserve">isorder: A </w:t>
      </w:r>
      <w:r w:rsidR="00E43F69">
        <w:rPr>
          <w:rFonts w:ascii="Times New Roman" w:hAnsi="Times New Roman"/>
        </w:rPr>
        <w:t>R</w:t>
      </w:r>
      <w:r w:rsidRPr="00C71E80">
        <w:rPr>
          <w:rFonts w:ascii="Times New Roman" w:hAnsi="Times New Roman"/>
        </w:rPr>
        <w:t xml:space="preserve">andomized, </w:t>
      </w:r>
      <w:r w:rsidR="00E43F69">
        <w:rPr>
          <w:rFonts w:ascii="Times New Roman" w:hAnsi="Times New Roman"/>
        </w:rPr>
        <w:t>D</w:t>
      </w:r>
      <w:r w:rsidRPr="00C71E80">
        <w:rPr>
          <w:rFonts w:ascii="Times New Roman" w:hAnsi="Times New Roman"/>
        </w:rPr>
        <w:t xml:space="preserve">ouble </w:t>
      </w:r>
      <w:r w:rsidR="00E43F69">
        <w:rPr>
          <w:rFonts w:ascii="Times New Roman" w:hAnsi="Times New Roman"/>
        </w:rPr>
        <w:t>B</w:t>
      </w:r>
      <w:r w:rsidRPr="00C71E80">
        <w:rPr>
          <w:rFonts w:ascii="Times New Roman" w:hAnsi="Times New Roman"/>
        </w:rPr>
        <w:t xml:space="preserve">lind, </w:t>
      </w:r>
      <w:r w:rsidR="00E43F69">
        <w:rPr>
          <w:rFonts w:ascii="Times New Roman" w:hAnsi="Times New Roman"/>
        </w:rPr>
        <w:t>C</w:t>
      </w:r>
      <w:r w:rsidRPr="00C71E80">
        <w:rPr>
          <w:rFonts w:ascii="Times New Roman" w:hAnsi="Times New Roman"/>
        </w:rPr>
        <w:t xml:space="preserve">linical </w:t>
      </w:r>
      <w:r w:rsidR="00E43F69">
        <w:rPr>
          <w:rFonts w:ascii="Times New Roman" w:hAnsi="Times New Roman"/>
        </w:rPr>
        <w:t>T</w:t>
      </w:r>
      <w:r w:rsidRPr="00C71E80">
        <w:rPr>
          <w:rFonts w:ascii="Times New Roman" w:hAnsi="Times New Roman"/>
        </w:rPr>
        <w:t>rial. J Res Med Sci Off J Isfahan Univ Med Sci. 19(7):592–598.</w:t>
      </w:r>
    </w:p>
    <w:p w14:paraId="0C02C1CD" w14:textId="26F43450" w:rsidR="00263E2C" w:rsidRPr="00C71E80" w:rsidRDefault="00263E2C" w:rsidP="00263E2C">
      <w:pPr>
        <w:pStyle w:val="Bibliography"/>
        <w:rPr>
          <w:rFonts w:ascii="Times New Roman" w:hAnsi="Times New Roman"/>
        </w:rPr>
      </w:pPr>
      <w:proofErr w:type="spellStart"/>
      <w:r w:rsidRPr="00C71E80">
        <w:rPr>
          <w:rFonts w:ascii="Times New Roman" w:hAnsi="Times New Roman"/>
        </w:rPr>
        <w:t>Auxéméry</w:t>
      </w:r>
      <w:proofErr w:type="spellEnd"/>
      <w:r w:rsidRPr="00C71E80">
        <w:rPr>
          <w:rFonts w:ascii="Times New Roman" w:hAnsi="Times New Roman"/>
        </w:rPr>
        <w:t xml:space="preserve"> Y. 2012. [Post</w:t>
      </w:r>
      <w:r w:rsidR="001F52B3">
        <w:rPr>
          <w:rFonts w:ascii="Times New Roman" w:hAnsi="Times New Roman"/>
        </w:rPr>
        <w:t>-</w:t>
      </w:r>
      <w:r w:rsidRPr="00C71E80">
        <w:rPr>
          <w:rFonts w:ascii="Times New Roman" w:hAnsi="Times New Roman"/>
        </w:rPr>
        <w:t xml:space="preserve">traumatic </w:t>
      </w:r>
      <w:r w:rsidR="001F52B3">
        <w:rPr>
          <w:rFonts w:ascii="Times New Roman" w:hAnsi="Times New Roman"/>
        </w:rPr>
        <w:t>S</w:t>
      </w:r>
      <w:r w:rsidRPr="00C71E80">
        <w:rPr>
          <w:rFonts w:ascii="Times New Roman" w:hAnsi="Times New Roman"/>
        </w:rPr>
        <w:t xml:space="preserve">tress </w:t>
      </w:r>
      <w:r w:rsidR="001F52B3">
        <w:rPr>
          <w:rFonts w:ascii="Times New Roman" w:hAnsi="Times New Roman"/>
        </w:rPr>
        <w:t>D</w:t>
      </w:r>
      <w:r w:rsidRPr="00C71E80">
        <w:rPr>
          <w:rFonts w:ascii="Times New Roman" w:hAnsi="Times New Roman"/>
        </w:rPr>
        <w:t xml:space="preserve">isorder (PTSD) as a </w:t>
      </w:r>
      <w:r w:rsidR="001F52B3">
        <w:rPr>
          <w:rFonts w:ascii="Times New Roman" w:hAnsi="Times New Roman"/>
        </w:rPr>
        <w:t>C</w:t>
      </w:r>
      <w:r w:rsidRPr="00C71E80">
        <w:rPr>
          <w:rFonts w:ascii="Times New Roman" w:hAnsi="Times New Roman"/>
        </w:rPr>
        <w:t xml:space="preserve">onsequence of the </w:t>
      </w:r>
      <w:r w:rsidR="001F52B3">
        <w:rPr>
          <w:rFonts w:ascii="Times New Roman" w:hAnsi="Times New Roman"/>
        </w:rPr>
        <w:t>I</w:t>
      </w:r>
      <w:r w:rsidRPr="00C71E80">
        <w:rPr>
          <w:rFonts w:ascii="Times New Roman" w:hAnsi="Times New Roman"/>
        </w:rPr>
        <w:t xml:space="preserve">nteraction </w:t>
      </w:r>
      <w:r w:rsidR="001F52B3">
        <w:rPr>
          <w:rFonts w:ascii="Times New Roman" w:hAnsi="Times New Roman"/>
        </w:rPr>
        <w:t>B</w:t>
      </w:r>
      <w:r w:rsidRPr="00C71E80">
        <w:rPr>
          <w:rFonts w:ascii="Times New Roman" w:hAnsi="Times New Roman"/>
        </w:rPr>
        <w:t xml:space="preserve">etween an </w:t>
      </w:r>
      <w:r w:rsidR="001F52B3">
        <w:rPr>
          <w:rFonts w:ascii="Times New Roman" w:hAnsi="Times New Roman"/>
        </w:rPr>
        <w:t>I</w:t>
      </w:r>
      <w:r w:rsidRPr="00C71E80">
        <w:rPr>
          <w:rFonts w:ascii="Times New Roman" w:hAnsi="Times New Roman"/>
        </w:rPr>
        <w:t xml:space="preserve">ndividual </w:t>
      </w:r>
      <w:r w:rsidR="001F52B3">
        <w:rPr>
          <w:rFonts w:ascii="Times New Roman" w:hAnsi="Times New Roman"/>
        </w:rPr>
        <w:t>G</w:t>
      </w:r>
      <w:r w:rsidRPr="00C71E80">
        <w:rPr>
          <w:rFonts w:ascii="Times New Roman" w:hAnsi="Times New Roman"/>
        </w:rPr>
        <w:t xml:space="preserve">enetic </w:t>
      </w:r>
      <w:r w:rsidR="001F52B3">
        <w:rPr>
          <w:rFonts w:ascii="Times New Roman" w:hAnsi="Times New Roman"/>
        </w:rPr>
        <w:t>S</w:t>
      </w:r>
      <w:r w:rsidRPr="00C71E80">
        <w:rPr>
          <w:rFonts w:ascii="Times New Roman" w:hAnsi="Times New Roman"/>
        </w:rPr>
        <w:t xml:space="preserve">usceptibility, a </w:t>
      </w:r>
      <w:proofErr w:type="spellStart"/>
      <w:r w:rsidR="001F52B3">
        <w:rPr>
          <w:rFonts w:ascii="Times New Roman" w:hAnsi="Times New Roman"/>
        </w:rPr>
        <w:t>T</w:t>
      </w:r>
      <w:r w:rsidRPr="00C71E80">
        <w:rPr>
          <w:rFonts w:ascii="Times New Roman" w:hAnsi="Times New Roman"/>
        </w:rPr>
        <w:t>raumatogenic</w:t>
      </w:r>
      <w:proofErr w:type="spellEnd"/>
      <w:r w:rsidRPr="00C71E80">
        <w:rPr>
          <w:rFonts w:ascii="Times New Roman" w:hAnsi="Times New Roman"/>
        </w:rPr>
        <w:t xml:space="preserve"> </w:t>
      </w:r>
      <w:r w:rsidR="001F52B3">
        <w:rPr>
          <w:rFonts w:ascii="Times New Roman" w:hAnsi="Times New Roman"/>
        </w:rPr>
        <w:t>E</w:t>
      </w:r>
      <w:r w:rsidRPr="00C71E80">
        <w:rPr>
          <w:rFonts w:ascii="Times New Roman" w:hAnsi="Times New Roman"/>
        </w:rPr>
        <w:t xml:space="preserve">vent and a </w:t>
      </w:r>
      <w:r w:rsidR="001F52B3">
        <w:rPr>
          <w:rFonts w:ascii="Times New Roman" w:hAnsi="Times New Roman"/>
        </w:rPr>
        <w:t>So</w:t>
      </w:r>
      <w:r w:rsidRPr="00C71E80">
        <w:rPr>
          <w:rFonts w:ascii="Times New Roman" w:hAnsi="Times New Roman"/>
        </w:rPr>
        <w:t xml:space="preserve">cial </w:t>
      </w:r>
      <w:r w:rsidR="00E23CB0">
        <w:rPr>
          <w:rFonts w:ascii="Times New Roman" w:hAnsi="Times New Roman"/>
        </w:rPr>
        <w:t>C</w:t>
      </w:r>
      <w:r w:rsidRPr="00C71E80">
        <w:rPr>
          <w:rFonts w:ascii="Times New Roman" w:hAnsi="Times New Roman"/>
        </w:rPr>
        <w:t xml:space="preserve">ontext]. </w:t>
      </w:r>
      <w:proofErr w:type="spellStart"/>
      <w:r w:rsidRPr="00C71E80">
        <w:rPr>
          <w:rFonts w:ascii="Times New Roman" w:hAnsi="Times New Roman"/>
        </w:rPr>
        <w:t>L’Encephale</w:t>
      </w:r>
      <w:proofErr w:type="spellEnd"/>
      <w:r w:rsidRPr="00C71E80">
        <w:rPr>
          <w:rFonts w:ascii="Times New Roman" w:hAnsi="Times New Roman"/>
        </w:rPr>
        <w:t xml:space="preserve">. 38(5):373–380. </w:t>
      </w:r>
    </w:p>
    <w:p w14:paraId="60D17FE1" w14:textId="1E2B9CB1" w:rsidR="00263E2C" w:rsidRPr="00C71E80" w:rsidRDefault="00263E2C" w:rsidP="00263E2C">
      <w:pPr>
        <w:pStyle w:val="Bibliography"/>
        <w:rPr>
          <w:rFonts w:ascii="Times New Roman" w:hAnsi="Times New Roman"/>
        </w:rPr>
      </w:pPr>
      <w:r w:rsidRPr="00C71E80">
        <w:rPr>
          <w:rFonts w:ascii="Times New Roman" w:hAnsi="Times New Roman"/>
        </w:rPr>
        <w:lastRenderedPageBreak/>
        <w:t xml:space="preserve">Barnes A, Monto A, Williams J, Rigg L. 2016. Impact of Transcendental Meditation on Psychotropic Medication Use Among Active Duty Military Service Members With Anxiety and PTSD. Mil Med. 181(1):56–63. </w:t>
      </w:r>
    </w:p>
    <w:p w14:paraId="6023D399" w14:textId="66AE1450" w:rsidR="00263E2C" w:rsidRPr="00C71E80" w:rsidRDefault="00263E2C" w:rsidP="00263E2C">
      <w:pPr>
        <w:pStyle w:val="Bibliography"/>
        <w:rPr>
          <w:rFonts w:ascii="Times New Roman" w:hAnsi="Times New Roman"/>
        </w:rPr>
      </w:pPr>
      <w:r w:rsidRPr="00C71E80">
        <w:rPr>
          <w:rFonts w:ascii="Times New Roman" w:hAnsi="Times New Roman"/>
        </w:rPr>
        <w:t xml:space="preserve">Benjamin Adams R, </w:t>
      </w:r>
      <w:proofErr w:type="spellStart"/>
      <w:r w:rsidRPr="00C71E80">
        <w:rPr>
          <w:rFonts w:ascii="Times New Roman" w:hAnsi="Times New Roman"/>
        </w:rPr>
        <w:t>Nkechiyere</w:t>
      </w:r>
      <w:proofErr w:type="spellEnd"/>
      <w:r w:rsidRPr="00C71E80">
        <w:rPr>
          <w:rFonts w:ascii="Times New Roman" w:hAnsi="Times New Roman"/>
        </w:rPr>
        <w:t xml:space="preserve"> </w:t>
      </w:r>
      <w:proofErr w:type="spellStart"/>
      <w:r w:rsidRPr="00C71E80">
        <w:rPr>
          <w:rFonts w:ascii="Times New Roman" w:hAnsi="Times New Roman"/>
        </w:rPr>
        <w:t>Egbo</w:t>
      </w:r>
      <w:proofErr w:type="spellEnd"/>
      <w:r w:rsidRPr="00C71E80">
        <w:rPr>
          <w:rFonts w:ascii="Times New Roman" w:hAnsi="Times New Roman"/>
        </w:rPr>
        <w:t xml:space="preserve"> K, </w:t>
      </w:r>
      <w:proofErr w:type="spellStart"/>
      <w:r w:rsidRPr="00C71E80">
        <w:rPr>
          <w:rFonts w:ascii="Times New Roman" w:hAnsi="Times New Roman"/>
        </w:rPr>
        <w:t>Demmig</w:t>
      </w:r>
      <w:proofErr w:type="spellEnd"/>
      <w:r w:rsidRPr="00C71E80">
        <w:rPr>
          <w:rFonts w:ascii="Times New Roman" w:hAnsi="Times New Roman"/>
        </w:rPr>
        <w:t>-Adams B. 2014. High-</w:t>
      </w:r>
      <w:r w:rsidR="00E23CB0">
        <w:rPr>
          <w:rFonts w:ascii="Times New Roman" w:hAnsi="Times New Roman"/>
        </w:rPr>
        <w:t>D</w:t>
      </w:r>
      <w:r w:rsidRPr="00C71E80">
        <w:rPr>
          <w:rFonts w:ascii="Times New Roman" w:hAnsi="Times New Roman"/>
        </w:rPr>
        <w:t xml:space="preserve">ose </w:t>
      </w:r>
      <w:r w:rsidR="00E23CB0">
        <w:rPr>
          <w:rFonts w:ascii="Times New Roman" w:hAnsi="Times New Roman"/>
        </w:rPr>
        <w:t>V</w:t>
      </w:r>
      <w:r w:rsidRPr="00C71E80">
        <w:rPr>
          <w:rFonts w:ascii="Times New Roman" w:hAnsi="Times New Roman"/>
        </w:rPr>
        <w:t xml:space="preserve">itamin C </w:t>
      </w:r>
      <w:r w:rsidR="00E23CB0">
        <w:rPr>
          <w:rFonts w:ascii="Times New Roman" w:hAnsi="Times New Roman"/>
        </w:rPr>
        <w:t>S</w:t>
      </w:r>
      <w:r w:rsidRPr="00C71E80">
        <w:rPr>
          <w:rFonts w:ascii="Times New Roman" w:hAnsi="Times New Roman"/>
        </w:rPr>
        <w:t xml:space="preserve">upplements </w:t>
      </w:r>
      <w:r w:rsidR="00E23CB0">
        <w:rPr>
          <w:rFonts w:ascii="Times New Roman" w:hAnsi="Times New Roman"/>
        </w:rPr>
        <w:t>D</w:t>
      </w:r>
      <w:r w:rsidRPr="00C71E80">
        <w:rPr>
          <w:rFonts w:ascii="Times New Roman" w:hAnsi="Times New Roman"/>
        </w:rPr>
        <w:t xml:space="preserve">iminish the </w:t>
      </w:r>
      <w:r w:rsidR="00E23CB0">
        <w:rPr>
          <w:rFonts w:ascii="Times New Roman" w:hAnsi="Times New Roman"/>
        </w:rPr>
        <w:t>B</w:t>
      </w:r>
      <w:r w:rsidRPr="00C71E80">
        <w:rPr>
          <w:rFonts w:ascii="Times New Roman" w:hAnsi="Times New Roman"/>
        </w:rPr>
        <w:t xml:space="preserve">enefits of </w:t>
      </w:r>
      <w:r w:rsidR="00E23CB0">
        <w:rPr>
          <w:rFonts w:ascii="Times New Roman" w:hAnsi="Times New Roman"/>
        </w:rPr>
        <w:t>E</w:t>
      </w:r>
      <w:r w:rsidRPr="00C71E80">
        <w:rPr>
          <w:rFonts w:ascii="Times New Roman" w:hAnsi="Times New Roman"/>
        </w:rPr>
        <w:t xml:space="preserve">xercise in </w:t>
      </w:r>
      <w:r w:rsidR="00E23CB0">
        <w:rPr>
          <w:rFonts w:ascii="Times New Roman" w:hAnsi="Times New Roman"/>
        </w:rPr>
        <w:t>A</w:t>
      </w:r>
      <w:r w:rsidRPr="00C71E80">
        <w:rPr>
          <w:rFonts w:ascii="Times New Roman" w:hAnsi="Times New Roman"/>
        </w:rPr>
        <w:t xml:space="preserve">thletic </w:t>
      </w:r>
      <w:r w:rsidR="00E23CB0">
        <w:rPr>
          <w:rFonts w:ascii="Times New Roman" w:hAnsi="Times New Roman"/>
        </w:rPr>
        <w:t>T</w:t>
      </w:r>
      <w:r w:rsidRPr="00C71E80">
        <w:rPr>
          <w:rFonts w:ascii="Times New Roman" w:hAnsi="Times New Roman"/>
        </w:rPr>
        <w:t xml:space="preserve">raining and </w:t>
      </w:r>
      <w:r w:rsidR="00E23CB0">
        <w:rPr>
          <w:rFonts w:ascii="Times New Roman" w:hAnsi="Times New Roman"/>
        </w:rPr>
        <w:t>D</w:t>
      </w:r>
      <w:r w:rsidRPr="00C71E80">
        <w:rPr>
          <w:rFonts w:ascii="Times New Roman" w:hAnsi="Times New Roman"/>
        </w:rPr>
        <w:t xml:space="preserve">isease </w:t>
      </w:r>
      <w:r w:rsidR="00E23CB0">
        <w:rPr>
          <w:rFonts w:ascii="Times New Roman" w:hAnsi="Times New Roman"/>
        </w:rPr>
        <w:t>P</w:t>
      </w:r>
      <w:r w:rsidRPr="00C71E80">
        <w:rPr>
          <w:rFonts w:ascii="Times New Roman" w:hAnsi="Times New Roman"/>
        </w:rPr>
        <w:t xml:space="preserve">revention. </w:t>
      </w:r>
      <w:proofErr w:type="spellStart"/>
      <w:r w:rsidRPr="00C71E80">
        <w:rPr>
          <w:rFonts w:ascii="Times New Roman" w:hAnsi="Times New Roman"/>
        </w:rPr>
        <w:t>Nutr</w:t>
      </w:r>
      <w:proofErr w:type="spellEnd"/>
      <w:r w:rsidRPr="00C71E80">
        <w:rPr>
          <w:rFonts w:ascii="Times New Roman" w:hAnsi="Times New Roman"/>
        </w:rPr>
        <w:t xml:space="preserve"> Food Sci. 44(2):95–101. </w:t>
      </w:r>
    </w:p>
    <w:p w14:paraId="59796DE5" w14:textId="2FCE6198" w:rsidR="00263E2C" w:rsidRPr="00C71E80" w:rsidRDefault="00263E2C" w:rsidP="00263E2C">
      <w:pPr>
        <w:pStyle w:val="Bibliography"/>
        <w:rPr>
          <w:rFonts w:ascii="Times New Roman" w:hAnsi="Times New Roman"/>
        </w:rPr>
      </w:pPr>
      <w:r w:rsidRPr="00C71E80">
        <w:rPr>
          <w:rFonts w:ascii="Times New Roman" w:hAnsi="Times New Roman"/>
        </w:rPr>
        <w:t xml:space="preserve">Binder B, Bradley G, Liu W, Epstein P, </w:t>
      </w:r>
      <w:proofErr w:type="spellStart"/>
      <w:r w:rsidRPr="00C71E80">
        <w:rPr>
          <w:rFonts w:ascii="Times New Roman" w:hAnsi="Times New Roman"/>
        </w:rPr>
        <w:t>Deveau</w:t>
      </w:r>
      <w:proofErr w:type="spellEnd"/>
      <w:r w:rsidRPr="00C71E80">
        <w:rPr>
          <w:rFonts w:ascii="Times New Roman" w:hAnsi="Times New Roman"/>
        </w:rPr>
        <w:t xml:space="preserve"> C, Mercer B, Tang Y, Gillespie F, Heim M, </w:t>
      </w:r>
      <w:proofErr w:type="spellStart"/>
      <w:r w:rsidRPr="00C71E80">
        <w:rPr>
          <w:rFonts w:ascii="Times New Roman" w:hAnsi="Times New Roman"/>
        </w:rPr>
        <w:t>Nemeroff</w:t>
      </w:r>
      <w:proofErr w:type="spellEnd"/>
      <w:r w:rsidRPr="00C71E80">
        <w:rPr>
          <w:rFonts w:ascii="Times New Roman" w:hAnsi="Times New Roman"/>
        </w:rPr>
        <w:t xml:space="preserve"> B, et al. </w:t>
      </w:r>
      <w:r w:rsidR="00777FBF">
        <w:rPr>
          <w:rFonts w:ascii="Times New Roman" w:hAnsi="Times New Roman"/>
        </w:rPr>
        <w:t>2008</w:t>
      </w:r>
      <w:r w:rsidR="00014D7D">
        <w:rPr>
          <w:rFonts w:ascii="Times New Roman" w:hAnsi="Times New Roman"/>
        </w:rPr>
        <w:t xml:space="preserve">. </w:t>
      </w:r>
      <w:r w:rsidRPr="00C71E80">
        <w:rPr>
          <w:rFonts w:ascii="Times New Roman" w:hAnsi="Times New Roman"/>
        </w:rPr>
        <w:t xml:space="preserve">Association of FKBP5 Polymorphisms and Childhood Abuse </w:t>
      </w:r>
      <w:r w:rsidR="00F7617B">
        <w:rPr>
          <w:rFonts w:ascii="Times New Roman" w:hAnsi="Times New Roman"/>
        </w:rPr>
        <w:t>w</w:t>
      </w:r>
      <w:r w:rsidRPr="00C71E80">
        <w:rPr>
          <w:rFonts w:ascii="Times New Roman" w:hAnsi="Times New Roman"/>
        </w:rPr>
        <w:t>ith Risk of Post</w:t>
      </w:r>
      <w:r w:rsidR="00F7617B">
        <w:rPr>
          <w:rFonts w:ascii="Times New Roman" w:hAnsi="Times New Roman"/>
        </w:rPr>
        <w:t>-Tr</w:t>
      </w:r>
      <w:r w:rsidRPr="00C71E80">
        <w:rPr>
          <w:rFonts w:ascii="Times New Roman" w:hAnsi="Times New Roman"/>
        </w:rPr>
        <w:t xml:space="preserve">aumatic Stress Disorder Symptoms in Adults. </w:t>
      </w:r>
      <w:r w:rsidR="00014D7D">
        <w:rPr>
          <w:rFonts w:ascii="Times New Roman" w:hAnsi="Times New Roman"/>
        </w:rPr>
        <w:t xml:space="preserve">Volume </w:t>
      </w:r>
      <w:r w:rsidRPr="00C71E80">
        <w:rPr>
          <w:rFonts w:ascii="Times New Roman" w:hAnsi="Times New Roman"/>
        </w:rPr>
        <w:t>:15.</w:t>
      </w:r>
    </w:p>
    <w:p w14:paraId="2279D7D0" w14:textId="494C475F" w:rsidR="00263E2C" w:rsidRPr="00C71E80" w:rsidRDefault="00263E2C" w:rsidP="00263E2C">
      <w:pPr>
        <w:pStyle w:val="Bibliography"/>
        <w:rPr>
          <w:rFonts w:ascii="Times New Roman" w:hAnsi="Times New Roman"/>
        </w:rPr>
      </w:pPr>
      <w:r w:rsidRPr="00C71E80">
        <w:rPr>
          <w:rFonts w:ascii="Times New Roman" w:hAnsi="Times New Roman"/>
        </w:rPr>
        <w:t xml:space="preserve">Bonn-Miller O, </w:t>
      </w:r>
      <w:proofErr w:type="spellStart"/>
      <w:r w:rsidRPr="00C71E80">
        <w:rPr>
          <w:rFonts w:ascii="Times New Roman" w:hAnsi="Times New Roman"/>
        </w:rPr>
        <w:t>Brunstetter</w:t>
      </w:r>
      <w:proofErr w:type="spellEnd"/>
      <w:r w:rsidRPr="00C71E80">
        <w:rPr>
          <w:rFonts w:ascii="Times New Roman" w:hAnsi="Times New Roman"/>
        </w:rPr>
        <w:t xml:space="preserve"> M, Simonian A, </w:t>
      </w:r>
      <w:proofErr w:type="spellStart"/>
      <w:r w:rsidRPr="00C71E80">
        <w:rPr>
          <w:rFonts w:ascii="Times New Roman" w:hAnsi="Times New Roman"/>
        </w:rPr>
        <w:t>Loflin</w:t>
      </w:r>
      <w:proofErr w:type="spellEnd"/>
      <w:r w:rsidRPr="00C71E80">
        <w:rPr>
          <w:rFonts w:ascii="Times New Roman" w:hAnsi="Times New Roman"/>
        </w:rPr>
        <w:t xml:space="preserve"> J, </w:t>
      </w:r>
      <w:proofErr w:type="spellStart"/>
      <w:r w:rsidRPr="00C71E80">
        <w:rPr>
          <w:rFonts w:ascii="Times New Roman" w:hAnsi="Times New Roman"/>
        </w:rPr>
        <w:t>Vandrey</w:t>
      </w:r>
      <w:proofErr w:type="spellEnd"/>
      <w:r w:rsidRPr="00C71E80">
        <w:rPr>
          <w:rFonts w:ascii="Times New Roman" w:hAnsi="Times New Roman"/>
        </w:rPr>
        <w:t xml:space="preserve"> R, Babson A, </w:t>
      </w:r>
      <w:proofErr w:type="spellStart"/>
      <w:r w:rsidRPr="00C71E80">
        <w:rPr>
          <w:rFonts w:ascii="Times New Roman" w:hAnsi="Times New Roman"/>
        </w:rPr>
        <w:t>Wortzel</w:t>
      </w:r>
      <w:proofErr w:type="spellEnd"/>
      <w:r w:rsidRPr="00C71E80">
        <w:rPr>
          <w:rFonts w:ascii="Times New Roman" w:hAnsi="Times New Roman"/>
        </w:rPr>
        <w:t xml:space="preserve"> H. 2020 Dec 9. The Long-Term, Prospective, Therapeutic Impact of Cannabis on Post-Traumatic Stress Disorder. Cannabis Cannabinoid Res. </w:t>
      </w:r>
      <w:r w:rsidR="00D513A1">
        <w:rPr>
          <w:rFonts w:ascii="Times New Roman" w:hAnsi="Times New Roman"/>
        </w:rPr>
        <w:t>25(</w:t>
      </w:r>
      <w:r w:rsidR="001C3979">
        <w:rPr>
          <w:rFonts w:ascii="Times New Roman" w:hAnsi="Times New Roman"/>
        </w:rPr>
        <w:t>3): 485-491.</w:t>
      </w:r>
    </w:p>
    <w:p w14:paraId="37591670" w14:textId="60719B62" w:rsidR="00263E2C" w:rsidRPr="00C71E80" w:rsidRDefault="00263E2C" w:rsidP="00263E2C">
      <w:pPr>
        <w:pStyle w:val="Bibliography"/>
        <w:rPr>
          <w:rFonts w:ascii="Times New Roman" w:hAnsi="Times New Roman"/>
        </w:rPr>
      </w:pPr>
      <w:r w:rsidRPr="00C71E80">
        <w:rPr>
          <w:rFonts w:ascii="Times New Roman" w:hAnsi="Times New Roman"/>
        </w:rPr>
        <w:t xml:space="preserve">Bonn-Miller O, </w:t>
      </w:r>
      <w:proofErr w:type="spellStart"/>
      <w:r w:rsidRPr="00C71E80">
        <w:rPr>
          <w:rFonts w:ascii="Times New Roman" w:hAnsi="Times New Roman"/>
        </w:rPr>
        <w:t>Vujanovic</w:t>
      </w:r>
      <w:proofErr w:type="spellEnd"/>
      <w:r w:rsidRPr="00C71E80">
        <w:rPr>
          <w:rFonts w:ascii="Times New Roman" w:hAnsi="Times New Roman"/>
        </w:rPr>
        <w:t xml:space="preserve"> A, Drescher D. 2011. Cannabis </w:t>
      </w:r>
      <w:r w:rsidR="00B4242C">
        <w:rPr>
          <w:rFonts w:ascii="Times New Roman" w:hAnsi="Times New Roman"/>
        </w:rPr>
        <w:t>U</w:t>
      </w:r>
      <w:r w:rsidRPr="00C71E80">
        <w:rPr>
          <w:rFonts w:ascii="Times New Roman" w:hAnsi="Times New Roman"/>
        </w:rPr>
        <w:t xml:space="preserve">se </w:t>
      </w:r>
      <w:r w:rsidR="00B4242C">
        <w:rPr>
          <w:rFonts w:ascii="Times New Roman" w:hAnsi="Times New Roman"/>
        </w:rPr>
        <w:t>A</w:t>
      </w:r>
      <w:r w:rsidRPr="00C71E80">
        <w:rPr>
          <w:rFonts w:ascii="Times New Roman" w:hAnsi="Times New Roman"/>
        </w:rPr>
        <w:t xml:space="preserve">mong </w:t>
      </w:r>
      <w:r w:rsidR="00B4242C">
        <w:rPr>
          <w:rFonts w:ascii="Times New Roman" w:hAnsi="Times New Roman"/>
        </w:rPr>
        <w:t>M</w:t>
      </w:r>
      <w:r w:rsidRPr="00C71E80">
        <w:rPr>
          <w:rFonts w:ascii="Times New Roman" w:hAnsi="Times New Roman"/>
        </w:rPr>
        <w:t xml:space="preserve">ilitary </w:t>
      </w:r>
      <w:r w:rsidR="00B4242C">
        <w:rPr>
          <w:rFonts w:ascii="Times New Roman" w:hAnsi="Times New Roman"/>
        </w:rPr>
        <w:t>V</w:t>
      </w:r>
      <w:r w:rsidRPr="00C71E80">
        <w:rPr>
          <w:rFonts w:ascii="Times New Roman" w:hAnsi="Times New Roman"/>
        </w:rPr>
        <w:t xml:space="preserve">eterans </w:t>
      </w:r>
      <w:r w:rsidR="00B4242C">
        <w:rPr>
          <w:rFonts w:ascii="Times New Roman" w:hAnsi="Times New Roman"/>
        </w:rPr>
        <w:t>A</w:t>
      </w:r>
      <w:r w:rsidRPr="00C71E80">
        <w:rPr>
          <w:rFonts w:ascii="Times New Roman" w:hAnsi="Times New Roman"/>
        </w:rPr>
        <w:t xml:space="preserve">fter </w:t>
      </w:r>
      <w:r w:rsidR="00B4242C">
        <w:rPr>
          <w:rFonts w:ascii="Times New Roman" w:hAnsi="Times New Roman"/>
        </w:rPr>
        <w:t>R</w:t>
      </w:r>
      <w:r w:rsidRPr="00C71E80">
        <w:rPr>
          <w:rFonts w:ascii="Times New Roman" w:hAnsi="Times New Roman"/>
        </w:rPr>
        <w:t xml:space="preserve">esidential </w:t>
      </w:r>
      <w:r w:rsidR="00B4242C">
        <w:rPr>
          <w:rFonts w:ascii="Times New Roman" w:hAnsi="Times New Roman"/>
        </w:rPr>
        <w:t>Tr</w:t>
      </w:r>
      <w:r w:rsidRPr="00C71E80">
        <w:rPr>
          <w:rFonts w:ascii="Times New Roman" w:hAnsi="Times New Roman"/>
        </w:rPr>
        <w:t xml:space="preserve">eatment for </w:t>
      </w:r>
      <w:r w:rsidR="00B4242C">
        <w:rPr>
          <w:rFonts w:ascii="Times New Roman" w:hAnsi="Times New Roman"/>
        </w:rPr>
        <w:t>P</w:t>
      </w:r>
      <w:r w:rsidRPr="00C71E80">
        <w:rPr>
          <w:rFonts w:ascii="Times New Roman" w:hAnsi="Times New Roman"/>
        </w:rPr>
        <w:t>ost</w:t>
      </w:r>
      <w:r w:rsidR="00B4242C">
        <w:rPr>
          <w:rFonts w:ascii="Times New Roman" w:hAnsi="Times New Roman"/>
        </w:rPr>
        <w:t>-T</w:t>
      </w:r>
      <w:r w:rsidRPr="00C71E80">
        <w:rPr>
          <w:rFonts w:ascii="Times New Roman" w:hAnsi="Times New Roman"/>
        </w:rPr>
        <w:t xml:space="preserve">raumatic </w:t>
      </w:r>
      <w:r w:rsidR="00B4242C">
        <w:rPr>
          <w:rFonts w:ascii="Times New Roman" w:hAnsi="Times New Roman"/>
        </w:rPr>
        <w:t>S</w:t>
      </w:r>
      <w:r w:rsidRPr="00C71E80">
        <w:rPr>
          <w:rFonts w:ascii="Times New Roman" w:hAnsi="Times New Roman"/>
        </w:rPr>
        <w:t xml:space="preserve">tress </w:t>
      </w:r>
      <w:r w:rsidR="00B4242C">
        <w:rPr>
          <w:rFonts w:ascii="Times New Roman" w:hAnsi="Times New Roman"/>
        </w:rPr>
        <w:t>D</w:t>
      </w:r>
      <w:r w:rsidRPr="00C71E80">
        <w:rPr>
          <w:rFonts w:ascii="Times New Roman" w:hAnsi="Times New Roman"/>
        </w:rPr>
        <w:t xml:space="preserve">isorder. Psychol Addict </w:t>
      </w:r>
      <w:proofErr w:type="spellStart"/>
      <w:r w:rsidRPr="00C71E80">
        <w:rPr>
          <w:rFonts w:ascii="Times New Roman" w:hAnsi="Times New Roman"/>
        </w:rPr>
        <w:t>Behav</w:t>
      </w:r>
      <w:proofErr w:type="spellEnd"/>
      <w:r w:rsidRPr="00C71E80">
        <w:rPr>
          <w:rFonts w:ascii="Times New Roman" w:hAnsi="Times New Roman"/>
        </w:rPr>
        <w:t xml:space="preserve">. 25(3):485–491. </w:t>
      </w:r>
    </w:p>
    <w:p w14:paraId="6FBE924A" w14:textId="1BF11202" w:rsidR="00263E2C" w:rsidRPr="00C71E80" w:rsidRDefault="00263E2C" w:rsidP="00263E2C">
      <w:pPr>
        <w:pStyle w:val="Bibliography"/>
        <w:rPr>
          <w:rFonts w:ascii="Times New Roman" w:hAnsi="Times New Roman"/>
        </w:rPr>
      </w:pPr>
      <w:r w:rsidRPr="00C71E80">
        <w:rPr>
          <w:rFonts w:ascii="Times New Roman" w:hAnsi="Times New Roman"/>
        </w:rPr>
        <w:t xml:space="preserve">Brock S, Powell A, Creamer L, Moore A, </w:t>
      </w:r>
      <w:proofErr w:type="spellStart"/>
      <w:r w:rsidRPr="00C71E80">
        <w:rPr>
          <w:rFonts w:ascii="Times New Roman" w:hAnsi="Times New Roman"/>
        </w:rPr>
        <w:t>Mysliwiec</w:t>
      </w:r>
      <w:proofErr w:type="spellEnd"/>
      <w:r w:rsidRPr="00C71E80">
        <w:rPr>
          <w:rFonts w:ascii="Times New Roman" w:hAnsi="Times New Roman"/>
        </w:rPr>
        <w:t xml:space="preserve"> V. 2019. Trauma Associated Sleep Disorder: Clinical Developments 5 Years After Discovery. </w:t>
      </w:r>
      <w:proofErr w:type="spellStart"/>
      <w:r w:rsidRPr="00C71E80">
        <w:rPr>
          <w:rFonts w:ascii="Times New Roman" w:hAnsi="Times New Roman"/>
        </w:rPr>
        <w:t>Curr</w:t>
      </w:r>
      <w:proofErr w:type="spellEnd"/>
      <w:r w:rsidRPr="00C71E80">
        <w:rPr>
          <w:rFonts w:ascii="Times New Roman" w:hAnsi="Times New Roman"/>
        </w:rPr>
        <w:t xml:space="preserve"> Psychiatry Rep. 21(9):80. </w:t>
      </w:r>
    </w:p>
    <w:p w14:paraId="7CFF0549" w14:textId="4B2C6EF7" w:rsidR="00263E2C" w:rsidRPr="00C71E80" w:rsidRDefault="00263E2C" w:rsidP="00263E2C">
      <w:pPr>
        <w:pStyle w:val="Bibliography"/>
        <w:rPr>
          <w:rFonts w:ascii="Times New Roman" w:hAnsi="Times New Roman"/>
        </w:rPr>
      </w:pPr>
      <w:r w:rsidRPr="00C71E80">
        <w:rPr>
          <w:rFonts w:ascii="Times New Roman" w:hAnsi="Times New Roman"/>
        </w:rPr>
        <w:t xml:space="preserve">Buckner D, Ecker H, Welch D. 2013. Psychometric </w:t>
      </w:r>
      <w:r w:rsidR="00B4242C">
        <w:rPr>
          <w:rFonts w:ascii="Times New Roman" w:hAnsi="Times New Roman"/>
        </w:rPr>
        <w:t>P</w:t>
      </w:r>
      <w:r w:rsidRPr="00C71E80">
        <w:rPr>
          <w:rFonts w:ascii="Times New Roman" w:hAnsi="Times New Roman"/>
        </w:rPr>
        <w:t xml:space="preserve">roperties of a </w:t>
      </w:r>
      <w:r w:rsidR="00B4242C">
        <w:rPr>
          <w:rFonts w:ascii="Times New Roman" w:hAnsi="Times New Roman"/>
        </w:rPr>
        <w:t>V</w:t>
      </w:r>
      <w:r w:rsidRPr="00C71E80">
        <w:rPr>
          <w:rFonts w:ascii="Times New Roman" w:hAnsi="Times New Roman"/>
        </w:rPr>
        <w:t xml:space="preserve">aluations </w:t>
      </w:r>
      <w:r w:rsidR="00B4242C">
        <w:rPr>
          <w:rFonts w:ascii="Times New Roman" w:hAnsi="Times New Roman"/>
        </w:rPr>
        <w:t>S</w:t>
      </w:r>
      <w:r w:rsidRPr="00C71E80">
        <w:rPr>
          <w:rFonts w:ascii="Times New Roman" w:hAnsi="Times New Roman"/>
        </w:rPr>
        <w:t xml:space="preserve">cale for the Marijuana Effect Expectancies Questionnaire. Addict </w:t>
      </w:r>
      <w:proofErr w:type="spellStart"/>
      <w:r w:rsidRPr="00C71E80">
        <w:rPr>
          <w:rFonts w:ascii="Times New Roman" w:hAnsi="Times New Roman"/>
        </w:rPr>
        <w:t>Behav</w:t>
      </w:r>
      <w:proofErr w:type="spellEnd"/>
      <w:r w:rsidRPr="00C71E80">
        <w:rPr>
          <w:rFonts w:ascii="Times New Roman" w:hAnsi="Times New Roman"/>
        </w:rPr>
        <w:t xml:space="preserve">. 38(3):1629–1634. </w:t>
      </w:r>
    </w:p>
    <w:p w14:paraId="5E7AAAA4" w14:textId="7C4E2DCA" w:rsidR="00263E2C" w:rsidRPr="00C71E80" w:rsidRDefault="00263E2C" w:rsidP="00263E2C">
      <w:pPr>
        <w:pStyle w:val="Bibliography"/>
        <w:rPr>
          <w:rFonts w:ascii="Times New Roman" w:hAnsi="Times New Roman"/>
        </w:rPr>
      </w:pPr>
      <w:r w:rsidRPr="00C71E80">
        <w:rPr>
          <w:rFonts w:ascii="Times New Roman" w:hAnsi="Times New Roman"/>
        </w:rPr>
        <w:t xml:space="preserve">Butt M, Espinal E, </w:t>
      </w:r>
      <w:proofErr w:type="spellStart"/>
      <w:r w:rsidRPr="00C71E80">
        <w:rPr>
          <w:rFonts w:ascii="Times New Roman" w:hAnsi="Times New Roman"/>
        </w:rPr>
        <w:t>Aupperle</w:t>
      </w:r>
      <w:proofErr w:type="spellEnd"/>
      <w:r w:rsidRPr="00C71E80">
        <w:rPr>
          <w:rFonts w:ascii="Times New Roman" w:hAnsi="Times New Roman"/>
        </w:rPr>
        <w:t xml:space="preserve"> L, </w:t>
      </w:r>
      <w:proofErr w:type="spellStart"/>
      <w:r w:rsidRPr="00C71E80">
        <w:rPr>
          <w:rFonts w:ascii="Times New Roman" w:hAnsi="Times New Roman"/>
        </w:rPr>
        <w:t>Nikulina</w:t>
      </w:r>
      <w:proofErr w:type="spellEnd"/>
      <w:r w:rsidRPr="00C71E80">
        <w:rPr>
          <w:rFonts w:ascii="Times New Roman" w:hAnsi="Times New Roman"/>
        </w:rPr>
        <w:t xml:space="preserve"> V, Stewart L. 2019. The Electrical Aftermath: Brain Signals of Posttraumatic Stress Disorder Filtered Through a Clinical Lens. Front Psychiatry. 10. </w:t>
      </w:r>
      <w:r w:rsidR="00EE7E70">
        <w:rPr>
          <w:rFonts w:ascii="Times New Roman" w:hAnsi="Times New Roman"/>
        </w:rPr>
        <w:t>368-370.</w:t>
      </w:r>
    </w:p>
    <w:p w14:paraId="22F14FCA" w14:textId="0F64E20F" w:rsidR="00263E2C" w:rsidRPr="00C71E80" w:rsidRDefault="00263E2C" w:rsidP="00263E2C">
      <w:pPr>
        <w:pStyle w:val="Bibliography"/>
        <w:rPr>
          <w:rFonts w:ascii="Times New Roman" w:hAnsi="Times New Roman"/>
        </w:rPr>
      </w:pPr>
      <w:proofErr w:type="spellStart"/>
      <w:r w:rsidRPr="00C71E80">
        <w:rPr>
          <w:rFonts w:ascii="Times New Roman" w:hAnsi="Times New Roman"/>
        </w:rPr>
        <w:t>Cachope</w:t>
      </w:r>
      <w:proofErr w:type="spellEnd"/>
      <w:r w:rsidRPr="00C71E80">
        <w:rPr>
          <w:rFonts w:ascii="Times New Roman" w:hAnsi="Times New Roman"/>
        </w:rPr>
        <w:t xml:space="preserve"> R. 2012. Functional </w:t>
      </w:r>
      <w:r w:rsidR="000F6B78">
        <w:rPr>
          <w:rFonts w:ascii="Times New Roman" w:hAnsi="Times New Roman"/>
        </w:rPr>
        <w:t>D</w:t>
      </w:r>
      <w:r w:rsidRPr="00C71E80">
        <w:rPr>
          <w:rFonts w:ascii="Times New Roman" w:hAnsi="Times New Roman"/>
        </w:rPr>
        <w:t xml:space="preserve">iversity on </w:t>
      </w:r>
      <w:r w:rsidR="000F6B78">
        <w:rPr>
          <w:rFonts w:ascii="Times New Roman" w:hAnsi="Times New Roman"/>
        </w:rPr>
        <w:t>S</w:t>
      </w:r>
      <w:r w:rsidRPr="00C71E80">
        <w:rPr>
          <w:rFonts w:ascii="Times New Roman" w:hAnsi="Times New Roman"/>
        </w:rPr>
        <w:t xml:space="preserve">ynaptic </w:t>
      </w:r>
      <w:r w:rsidR="000F6B78">
        <w:rPr>
          <w:rFonts w:ascii="Times New Roman" w:hAnsi="Times New Roman"/>
        </w:rPr>
        <w:t>P</w:t>
      </w:r>
      <w:r w:rsidRPr="00C71E80">
        <w:rPr>
          <w:rFonts w:ascii="Times New Roman" w:hAnsi="Times New Roman"/>
        </w:rPr>
        <w:t xml:space="preserve">lasticity </w:t>
      </w:r>
      <w:r w:rsidR="000F6B78">
        <w:rPr>
          <w:rFonts w:ascii="Times New Roman" w:hAnsi="Times New Roman"/>
        </w:rPr>
        <w:t>M</w:t>
      </w:r>
      <w:r w:rsidRPr="00C71E80">
        <w:rPr>
          <w:rFonts w:ascii="Times New Roman" w:hAnsi="Times New Roman"/>
        </w:rPr>
        <w:t xml:space="preserve">ediated by </w:t>
      </w:r>
      <w:r w:rsidR="000F6B78">
        <w:rPr>
          <w:rFonts w:ascii="Times New Roman" w:hAnsi="Times New Roman"/>
        </w:rPr>
        <w:t>E</w:t>
      </w:r>
      <w:r w:rsidRPr="00C71E80">
        <w:rPr>
          <w:rFonts w:ascii="Times New Roman" w:hAnsi="Times New Roman"/>
        </w:rPr>
        <w:t xml:space="preserve">ndocannabinoids. </w:t>
      </w:r>
      <w:proofErr w:type="spellStart"/>
      <w:r w:rsidRPr="00C71E80">
        <w:rPr>
          <w:rFonts w:ascii="Times New Roman" w:hAnsi="Times New Roman"/>
        </w:rPr>
        <w:t>Philos</w:t>
      </w:r>
      <w:proofErr w:type="spellEnd"/>
      <w:r w:rsidRPr="00C71E80">
        <w:rPr>
          <w:rFonts w:ascii="Times New Roman" w:hAnsi="Times New Roman"/>
        </w:rPr>
        <w:t xml:space="preserve"> Trans R Soc B Biol Sci. 367(1607):3242–3253. </w:t>
      </w:r>
    </w:p>
    <w:p w14:paraId="1E8EB5AD" w14:textId="1013B959" w:rsidR="00263E2C" w:rsidRPr="00C71E80" w:rsidRDefault="00263E2C" w:rsidP="00263E2C">
      <w:pPr>
        <w:pStyle w:val="Bibliography"/>
        <w:rPr>
          <w:rFonts w:ascii="Times New Roman" w:hAnsi="Times New Roman"/>
        </w:rPr>
      </w:pPr>
      <w:r w:rsidRPr="00C71E80">
        <w:rPr>
          <w:rFonts w:ascii="Times New Roman" w:hAnsi="Times New Roman"/>
        </w:rPr>
        <w:t xml:space="preserve">Caddick N, Smith B. 2018. Exercise is </w:t>
      </w:r>
      <w:r w:rsidR="000F6B78">
        <w:rPr>
          <w:rFonts w:ascii="Times New Roman" w:hAnsi="Times New Roman"/>
        </w:rPr>
        <w:t>M</w:t>
      </w:r>
      <w:r w:rsidRPr="00C71E80">
        <w:rPr>
          <w:rFonts w:ascii="Times New Roman" w:hAnsi="Times New Roman"/>
        </w:rPr>
        <w:t xml:space="preserve">edicine for </w:t>
      </w:r>
      <w:r w:rsidR="000F6B78">
        <w:rPr>
          <w:rFonts w:ascii="Times New Roman" w:hAnsi="Times New Roman"/>
        </w:rPr>
        <w:t>M</w:t>
      </w:r>
      <w:r w:rsidRPr="00C71E80">
        <w:rPr>
          <w:rFonts w:ascii="Times New Roman" w:hAnsi="Times New Roman"/>
        </w:rPr>
        <w:t xml:space="preserve">ental </w:t>
      </w:r>
      <w:r w:rsidR="000F6B78">
        <w:rPr>
          <w:rFonts w:ascii="Times New Roman" w:hAnsi="Times New Roman"/>
        </w:rPr>
        <w:t>H</w:t>
      </w:r>
      <w:r w:rsidRPr="00C71E80">
        <w:rPr>
          <w:rFonts w:ascii="Times New Roman" w:hAnsi="Times New Roman"/>
        </w:rPr>
        <w:t xml:space="preserve">ealth in </w:t>
      </w:r>
      <w:r w:rsidR="000F6B78">
        <w:rPr>
          <w:rFonts w:ascii="Times New Roman" w:hAnsi="Times New Roman"/>
        </w:rPr>
        <w:t>M</w:t>
      </w:r>
      <w:r w:rsidRPr="00C71E80">
        <w:rPr>
          <w:rFonts w:ascii="Times New Roman" w:hAnsi="Times New Roman"/>
        </w:rPr>
        <w:t xml:space="preserve">ilitary </w:t>
      </w:r>
      <w:r w:rsidR="000F6B78">
        <w:rPr>
          <w:rFonts w:ascii="Times New Roman" w:hAnsi="Times New Roman"/>
        </w:rPr>
        <w:t>V</w:t>
      </w:r>
      <w:r w:rsidRPr="00C71E80">
        <w:rPr>
          <w:rFonts w:ascii="Times New Roman" w:hAnsi="Times New Roman"/>
        </w:rPr>
        <w:t xml:space="preserve">eterans: a </w:t>
      </w:r>
      <w:r w:rsidR="000F6B78">
        <w:rPr>
          <w:rFonts w:ascii="Times New Roman" w:hAnsi="Times New Roman"/>
        </w:rPr>
        <w:t>Q</w:t>
      </w:r>
      <w:r w:rsidRPr="00C71E80">
        <w:rPr>
          <w:rFonts w:ascii="Times New Roman" w:hAnsi="Times New Roman"/>
        </w:rPr>
        <w:t xml:space="preserve">ualitative </w:t>
      </w:r>
      <w:r w:rsidR="000F6B78">
        <w:rPr>
          <w:rFonts w:ascii="Times New Roman" w:hAnsi="Times New Roman"/>
        </w:rPr>
        <w:t>C</w:t>
      </w:r>
      <w:r w:rsidRPr="00C71E80">
        <w:rPr>
          <w:rFonts w:ascii="Times New Roman" w:hAnsi="Times New Roman"/>
        </w:rPr>
        <w:t xml:space="preserve">ommentary. Qual Res Sport </w:t>
      </w:r>
      <w:proofErr w:type="spellStart"/>
      <w:r w:rsidRPr="00C71E80">
        <w:rPr>
          <w:rFonts w:ascii="Times New Roman" w:hAnsi="Times New Roman"/>
        </w:rPr>
        <w:t>Exerc</w:t>
      </w:r>
      <w:proofErr w:type="spellEnd"/>
      <w:r w:rsidRPr="00C71E80">
        <w:rPr>
          <w:rFonts w:ascii="Times New Roman" w:hAnsi="Times New Roman"/>
        </w:rPr>
        <w:t xml:space="preserve"> Health. 10(4):429–440. </w:t>
      </w:r>
    </w:p>
    <w:p w14:paraId="63DC77A6" w14:textId="4EA4870B" w:rsidR="00263E2C" w:rsidRPr="00C71E80" w:rsidRDefault="00263E2C" w:rsidP="00263E2C">
      <w:pPr>
        <w:pStyle w:val="Bibliography"/>
        <w:rPr>
          <w:rFonts w:ascii="Times New Roman" w:hAnsi="Times New Roman"/>
        </w:rPr>
      </w:pPr>
      <w:r w:rsidRPr="00C71E80">
        <w:rPr>
          <w:rFonts w:ascii="Times New Roman" w:hAnsi="Times New Roman"/>
        </w:rPr>
        <w:t xml:space="preserve">Castillo E, </w:t>
      </w:r>
      <w:proofErr w:type="spellStart"/>
      <w:r w:rsidRPr="00C71E80">
        <w:rPr>
          <w:rFonts w:ascii="Times New Roman" w:hAnsi="Times New Roman"/>
        </w:rPr>
        <w:t>Younts</w:t>
      </w:r>
      <w:proofErr w:type="spellEnd"/>
      <w:r w:rsidRPr="00C71E80">
        <w:rPr>
          <w:rFonts w:ascii="Times New Roman" w:hAnsi="Times New Roman"/>
        </w:rPr>
        <w:t xml:space="preserve"> J, Chávez E, </w:t>
      </w:r>
      <w:proofErr w:type="spellStart"/>
      <w:r w:rsidRPr="00C71E80">
        <w:rPr>
          <w:rFonts w:ascii="Times New Roman" w:hAnsi="Times New Roman"/>
        </w:rPr>
        <w:t>Hashimotodani</w:t>
      </w:r>
      <w:proofErr w:type="spellEnd"/>
      <w:r w:rsidRPr="00C71E80">
        <w:rPr>
          <w:rFonts w:ascii="Times New Roman" w:hAnsi="Times New Roman"/>
        </w:rPr>
        <w:t xml:space="preserve"> Y. 2012. Endocannabinoid Signaling and Synaptic Function. Neuron. 76(1):70–81. </w:t>
      </w:r>
    </w:p>
    <w:p w14:paraId="1BE7184A" w14:textId="067481CC" w:rsidR="00263E2C" w:rsidRPr="00C71E80" w:rsidRDefault="00263E2C" w:rsidP="00263E2C">
      <w:pPr>
        <w:pStyle w:val="Bibliography"/>
        <w:rPr>
          <w:rFonts w:ascii="Times New Roman" w:hAnsi="Times New Roman"/>
        </w:rPr>
      </w:pPr>
      <w:r w:rsidRPr="00C71E80">
        <w:rPr>
          <w:rFonts w:ascii="Times New Roman" w:hAnsi="Times New Roman"/>
        </w:rPr>
        <w:t xml:space="preserve">Cohen E, </w:t>
      </w:r>
      <w:proofErr w:type="spellStart"/>
      <w:r w:rsidRPr="00C71E80">
        <w:rPr>
          <w:rFonts w:ascii="Times New Roman" w:hAnsi="Times New Roman"/>
        </w:rPr>
        <w:t>Marmar</w:t>
      </w:r>
      <w:proofErr w:type="spellEnd"/>
      <w:r w:rsidRPr="00C71E80">
        <w:rPr>
          <w:rFonts w:ascii="Times New Roman" w:hAnsi="Times New Roman"/>
        </w:rPr>
        <w:t xml:space="preserve"> C, Ren L, </w:t>
      </w:r>
      <w:proofErr w:type="spellStart"/>
      <w:r w:rsidRPr="00C71E80">
        <w:rPr>
          <w:rFonts w:ascii="Times New Roman" w:hAnsi="Times New Roman"/>
        </w:rPr>
        <w:t>Bertenthal</w:t>
      </w:r>
      <w:proofErr w:type="spellEnd"/>
      <w:r w:rsidRPr="00C71E80">
        <w:rPr>
          <w:rFonts w:ascii="Times New Roman" w:hAnsi="Times New Roman"/>
        </w:rPr>
        <w:t xml:space="preserve"> D, Seal H. 2009. Association of </w:t>
      </w:r>
      <w:r w:rsidR="000F6B78">
        <w:rPr>
          <w:rFonts w:ascii="Times New Roman" w:hAnsi="Times New Roman"/>
        </w:rPr>
        <w:t>C</w:t>
      </w:r>
      <w:r w:rsidRPr="00C71E80">
        <w:rPr>
          <w:rFonts w:ascii="Times New Roman" w:hAnsi="Times New Roman"/>
        </w:rPr>
        <w:t xml:space="preserve">ardiovascular </w:t>
      </w:r>
      <w:r w:rsidR="000F6B78">
        <w:rPr>
          <w:rFonts w:ascii="Times New Roman" w:hAnsi="Times New Roman"/>
        </w:rPr>
        <w:t>R</w:t>
      </w:r>
      <w:r w:rsidRPr="00C71E80">
        <w:rPr>
          <w:rFonts w:ascii="Times New Roman" w:hAnsi="Times New Roman"/>
        </w:rPr>
        <w:t xml:space="preserve">isk </w:t>
      </w:r>
      <w:r w:rsidR="000F6B78">
        <w:rPr>
          <w:rFonts w:ascii="Times New Roman" w:hAnsi="Times New Roman"/>
        </w:rPr>
        <w:t>F</w:t>
      </w:r>
      <w:r w:rsidRPr="00C71E80">
        <w:rPr>
          <w:rFonts w:ascii="Times New Roman" w:hAnsi="Times New Roman"/>
        </w:rPr>
        <w:t xml:space="preserve">actors with </w:t>
      </w:r>
      <w:r w:rsidR="000F6B78">
        <w:rPr>
          <w:rFonts w:ascii="Times New Roman" w:hAnsi="Times New Roman"/>
        </w:rPr>
        <w:t>M</w:t>
      </w:r>
      <w:r w:rsidRPr="00C71E80">
        <w:rPr>
          <w:rFonts w:ascii="Times New Roman" w:hAnsi="Times New Roman"/>
        </w:rPr>
        <w:t xml:space="preserve">ental </w:t>
      </w:r>
      <w:r w:rsidR="000F6B78">
        <w:rPr>
          <w:rFonts w:ascii="Times New Roman" w:hAnsi="Times New Roman"/>
        </w:rPr>
        <w:t>H</w:t>
      </w:r>
      <w:r w:rsidRPr="00C71E80">
        <w:rPr>
          <w:rFonts w:ascii="Times New Roman" w:hAnsi="Times New Roman"/>
        </w:rPr>
        <w:t xml:space="preserve">ealth </w:t>
      </w:r>
      <w:r w:rsidR="000F6B78">
        <w:rPr>
          <w:rFonts w:ascii="Times New Roman" w:hAnsi="Times New Roman"/>
        </w:rPr>
        <w:t>Di</w:t>
      </w:r>
      <w:r w:rsidRPr="00C71E80">
        <w:rPr>
          <w:rFonts w:ascii="Times New Roman" w:hAnsi="Times New Roman"/>
        </w:rPr>
        <w:t xml:space="preserve">agnoses in Iraq and Afghanistan </w:t>
      </w:r>
      <w:r w:rsidR="000F6B78">
        <w:rPr>
          <w:rFonts w:ascii="Times New Roman" w:hAnsi="Times New Roman"/>
        </w:rPr>
        <w:t>W</w:t>
      </w:r>
      <w:r w:rsidRPr="00C71E80">
        <w:rPr>
          <w:rFonts w:ascii="Times New Roman" w:hAnsi="Times New Roman"/>
        </w:rPr>
        <w:t xml:space="preserve">ar </w:t>
      </w:r>
      <w:r w:rsidR="000F6B78">
        <w:rPr>
          <w:rFonts w:ascii="Times New Roman" w:hAnsi="Times New Roman"/>
        </w:rPr>
        <w:t>V</w:t>
      </w:r>
      <w:r w:rsidRPr="00C71E80">
        <w:rPr>
          <w:rFonts w:ascii="Times New Roman" w:hAnsi="Times New Roman"/>
        </w:rPr>
        <w:t xml:space="preserve">eterans </w:t>
      </w:r>
      <w:r w:rsidR="000F6B78">
        <w:rPr>
          <w:rFonts w:ascii="Times New Roman" w:hAnsi="Times New Roman"/>
        </w:rPr>
        <w:t>Us</w:t>
      </w:r>
      <w:r w:rsidRPr="00C71E80">
        <w:rPr>
          <w:rFonts w:ascii="Times New Roman" w:hAnsi="Times New Roman"/>
        </w:rPr>
        <w:t xml:space="preserve">ing VA </w:t>
      </w:r>
      <w:r w:rsidR="000F6B78">
        <w:rPr>
          <w:rFonts w:ascii="Times New Roman" w:hAnsi="Times New Roman"/>
        </w:rPr>
        <w:t>H</w:t>
      </w:r>
      <w:r w:rsidRPr="00C71E80">
        <w:rPr>
          <w:rFonts w:ascii="Times New Roman" w:hAnsi="Times New Roman"/>
        </w:rPr>
        <w:t xml:space="preserve">ealth </w:t>
      </w:r>
      <w:r w:rsidR="000F6B78">
        <w:rPr>
          <w:rFonts w:ascii="Times New Roman" w:hAnsi="Times New Roman"/>
        </w:rPr>
        <w:t>C</w:t>
      </w:r>
      <w:r w:rsidRPr="00C71E80">
        <w:rPr>
          <w:rFonts w:ascii="Times New Roman" w:hAnsi="Times New Roman"/>
        </w:rPr>
        <w:t xml:space="preserve">are. JAMA J Am Med Assoc. 302(5):489–492. </w:t>
      </w:r>
    </w:p>
    <w:p w14:paraId="0B9B8177" w14:textId="39B67B78" w:rsidR="00263E2C" w:rsidRPr="00C71E80" w:rsidRDefault="00263E2C" w:rsidP="00263E2C">
      <w:pPr>
        <w:pStyle w:val="Bibliography"/>
        <w:rPr>
          <w:rFonts w:ascii="Times New Roman" w:hAnsi="Times New Roman"/>
        </w:rPr>
      </w:pPr>
      <w:r w:rsidRPr="00C71E80">
        <w:rPr>
          <w:rFonts w:ascii="Times New Roman" w:hAnsi="Times New Roman"/>
        </w:rPr>
        <w:t xml:space="preserve">Das K, Kamboj K, Ramadas M, </w:t>
      </w:r>
      <w:proofErr w:type="spellStart"/>
      <w:r w:rsidRPr="00C71E80">
        <w:rPr>
          <w:rFonts w:ascii="Times New Roman" w:hAnsi="Times New Roman"/>
        </w:rPr>
        <w:t>Yogan</w:t>
      </w:r>
      <w:proofErr w:type="spellEnd"/>
      <w:r w:rsidRPr="00C71E80">
        <w:rPr>
          <w:rFonts w:ascii="Times New Roman" w:hAnsi="Times New Roman"/>
        </w:rPr>
        <w:t xml:space="preserve"> K, Gupta V, Redman E, Curran V, Morgan A. 2013. Cannabidiol </w:t>
      </w:r>
      <w:r w:rsidR="000F6B78">
        <w:rPr>
          <w:rFonts w:ascii="Times New Roman" w:hAnsi="Times New Roman"/>
        </w:rPr>
        <w:t>E</w:t>
      </w:r>
      <w:r w:rsidRPr="00C71E80">
        <w:rPr>
          <w:rFonts w:ascii="Times New Roman" w:hAnsi="Times New Roman"/>
        </w:rPr>
        <w:t xml:space="preserve">nhances </w:t>
      </w:r>
      <w:r w:rsidR="000F6B78">
        <w:rPr>
          <w:rFonts w:ascii="Times New Roman" w:hAnsi="Times New Roman"/>
        </w:rPr>
        <w:t>C</w:t>
      </w:r>
      <w:r w:rsidRPr="00C71E80">
        <w:rPr>
          <w:rFonts w:ascii="Times New Roman" w:hAnsi="Times New Roman"/>
        </w:rPr>
        <w:t xml:space="preserve">onsolidation of </w:t>
      </w:r>
      <w:r w:rsidR="000F6B78">
        <w:rPr>
          <w:rFonts w:ascii="Times New Roman" w:hAnsi="Times New Roman"/>
        </w:rPr>
        <w:t>E</w:t>
      </w:r>
      <w:r w:rsidRPr="00C71E80">
        <w:rPr>
          <w:rFonts w:ascii="Times New Roman" w:hAnsi="Times New Roman"/>
        </w:rPr>
        <w:t xml:space="preserve">xplicit </w:t>
      </w:r>
      <w:r w:rsidR="000F6B78">
        <w:rPr>
          <w:rFonts w:ascii="Times New Roman" w:hAnsi="Times New Roman"/>
        </w:rPr>
        <w:t>Fe</w:t>
      </w:r>
      <w:r w:rsidRPr="00C71E80">
        <w:rPr>
          <w:rFonts w:ascii="Times New Roman" w:hAnsi="Times New Roman"/>
        </w:rPr>
        <w:t xml:space="preserve">ar </w:t>
      </w:r>
      <w:r w:rsidR="000F6B78">
        <w:rPr>
          <w:rFonts w:ascii="Times New Roman" w:hAnsi="Times New Roman"/>
        </w:rPr>
        <w:t>Ex</w:t>
      </w:r>
      <w:r w:rsidRPr="00C71E80">
        <w:rPr>
          <w:rFonts w:ascii="Times New Roman" w:hAnsi="Times New Roman"/>
        </w:rPr>
        <w:t xml:space="preserve">tinction in </w:t>
      </w:r>
      <w:r w:rsidR="000F6B78">
        <w:rPr>
          <w:rFonts w:ascii="Times New Roman" w:hAnsi="Times New Roman"/>
        </w:rPr>
        <w:t>H</w:t>
      </w:r>
      <w:r w:rsidRPr="00C71E80">
        <w:rPr>
          <w:rFonts w:ascii="Times New Roman" w:hAnsi="Times New Roman"/>
        </w:rPr>
        <w:t>umans. Psychopharmacology (</w:t>
      </w:r>
      <w:proofErr w:type="spellStart"/>
      <w:r w:rsidRPr="00C71E80">
        <w:rPr>
          <w:rFonts w:ascii="Times New Roman" w:hAnsi="Times New Roman"/>
        </w:rPr>
        <w:t>Berl</w:t>
      </w:r>
      <w:proofErr w:type="spellEnd"/>
      <w:r w:rsidRPr="00C71E80">
        <w:rPr>
          <w:rFonts w:ascii="Times New Roman" w:hAnsi="Times New Roman"/>
        </w:rPr>
        <w:t xml:space="preserve">). 226(4):781–792. </w:t>
      </w:r>
    </w:p>
    <w:p w14:paraId="67C256A5" w14:textId="07E31EF5" w:rsidR="00263E2C" w:rsidRPr="00C71E80" w:rsidRDefault="00263E2C" w:rsidP="00263E2C">
      <w:pPr>
        <w:pStyle w:val="Bibliography"/>
        <w:rPr>
          <w:rFonts w:ascii="Times New Roman" w:hAnsi="Times New Roman"/>
        </w:rPr>
      </w:pPr>
      <w:r w:rsidRPr="00C71E80">
        <w:rPr>
          <w:rFonts w:ascii="Times New Roman" w:hAnsi="Times New Roman"/>
        </w:rPr>
        <w:lastRenderedPageBreak/>
        <w:t xml:space="preserve">Davidson J, Baldwin D, Stein DJ, </w:t>
      </w:r>
      <w:proofErr w:type="spellStart"/>
      <w:r w:rsidRPr="00C71E80">
        <w:rPr>
          <w:rFonts w:ascii="Times New Roman" w:hAnsi="Times New Roman"/>
        </w:rPr>
        <w:t>Kuper</w:t>
      </w:r>
      <w:proofErr w:type="spellEnd"/>
      <w:r w:rsidRPr="00C71E80">
        <w:rPr>
          <w:rFonts w:ascii="Times New Roman" w:hAnsi="Times New Roman"/>
        </w:rPr>
        <w:t xml:space="preserve"> E, Benattia I, Ahmed S, Pedersen R, </w:t>
      </w:r>
      <w:proofErr w:type="spellStart"/>
      <w:r w:rsidRPr="00C71E80">
        <w:rPr>
          <w:rFonts w:ascii="Times New Roman" w:hAnsi="Times New Roman"/>
        </w:rPr>
        <w:t>Musgnung</w:t>
      </w:r>
      <w:proofErr w:type="spellEnd"/>
      <w:r w:rsidRPr="00C71E80">
        <w:rPr>
          <w:rFonts w:ascii="Times New Roman" w:hAnsi="Times New Roman"/>
        </w:rPr>
        <w:t xml:space="preserve"> J. 2006. Treatment of Post</w:t>
      </w:r>
      <w:r w:rsidR="0070501A">
        <w:rPr>
          <w:rFonts w:ascii="Times New Roman" w:hAnsi="Times New Roman"/>
        </w:rPr>
        <w:t>-T</w:t>
      </w:r>
      <w:r w:rsidRPr="00C71E80">
        <w:rPr>
          <w:rFonts w:ascii="Times New Roman" w:hAnsi="Times New Roman"/>
        </w:rPr>
        <w:t xml:space="preserve">raumatic Stress Disorder With Venlafaxine Extended Release: A 6-Month Randomized Controlled Trial. Arch Gen Psychiatry. 63(10):1158–1165. </w:t>
      </w:r>
    </w:p>
    <w:p w14:paraId="2582DC6C" w14:textId="5E1320AC" w:rsidR="00263E2C" w:rsidRPr="00C71E80" w:rsidRDefault="00263E2C" w:rsidP="00263E2C">
      <w:pPr>
        <w:pStyle w:val="Bibliography"/>
        <w:rPr>
          <w:rFonts w:ascii="Times New Roman" w:hAnsi="Times New Roman"/>
        </w:rPr>
      </w:pPr>
      <w:proofErr w:type="spellStart"/>
      <w:r w:rsidRPr="00C71E80">
        <w:rPr>
          <w:rFonts w:ascii="Times New Roman" w:hAnsi="Times New Roman"/>
        </w:rPr>
        <w:t>Dedovic</w:t>
      </w:r>
      <w:proofErr w:type="spellEnd"/>
      <w:r w:rsidRPr="00C71E80">
        <w:rPr>
          <w:rFonts w:ascii="Times New Roman" w:hAnsi="Times New Roman"/>
        </w:rPr>
        <w:t xml:space="preserve"> K, Duchesne A, Andrews J, </w:t>
      </w:r>
      <w:proofErr w:type="spellStart"/>
      <w:r w:rsidRPr="00C71E80">
        <w:rPr>
          <w:rFonts w:ascii="Times New Roman" w:hAnsi="Times New Roman"/>
        </w:rPr>
        <w:t>Engert</w:t>
      </w:r>
      <w:proofErr w:type="spellEnd"/>
      <w:r w:rsidRPr="00C71E80">
        <w:rPr>
          <w:rFonts w:ascii="Times New Roman" w:hAnsi="Times New Roman"/>
        </w:rPr>
        <w:t xml:space="preserve"> V, </w:t>
      </w:r>
      <w:proofErr w:type="spellStart"/>
      <w:r w:rsidRPr="00C71E80">
        <w:rPr>
          <w:rFonts w:ascii="Times New Roman" w:hAnsi="Times New Roman"/>
        </w:rPr>
        <w:t>Pruessner</w:t>
      </w:r>
      <w:proofErr w:type="spellEnd"/>
      <w:r w:rsidRPr="00C71E80">
        <w:rPr>
          <w:rFonts w:ascii="Times New Roman" w:hAnsi="Times New Roman"/>
        </w:rPr>
        <w:t xml:space="preserve"> JC. 2009. The </w:t>
      </w:r>
      <w:r w:rsidR="0070501A">
        <w:rPr>
          <w:rFonts w:ascii="Times New Roman" w:hAnsi="Times New Roman"/>
        </w:rPr>
        <w:t>B</w:t>
      </w:r>
      <w:r w:rsidRPr="00C71E80">
        <w:rPr>
          <w:rFonts w:ascii="Times New Roman" w:hAnsi="Times New Roman"/>
        </w:rPr>
        <w:t xml:space="preserve">rain and the </w:t>
      </w:r>
      <w:r w:rsidR="0070501A">
        <w:rPr>
          <w:rFonts w:ascii="Times New Roman" w:hAnsi="Times New Roman"/>
        </w:rPr>
        <w:t>S</w:t>
      </w:r>
      <w:r w:rsidRPr="00C71E80">
        <w:rPr>
          <w:rFonts w:ascii="Times New Roman" w:hAnsi="Times New Roman"/>
        </w:rPr>
        <w:t xml:space="preserve">tress </w:t>
      </w:r>
      <w:r w:rsidR="0070501A">
        <w:rPr>
          <w:rFonts w:ascii="Times New Roman" w:hAnsi="Times New Roman"/>
        </w:rPr>
        <w:t>A</w:t>
      </w:r>
      <w:r w:rsidRPr="00C71E80">
        <w:rPr>
          <w:rFonts w:ascii="Times New Roman" w:hAnsi="Times New Roman"/>
        </w:rPr>
        <w:t xml:space="preserve">xis: The </w:t>
      </w:r>
      <w:r w:rsidR="0070501A">
        <w:rPr>
          <w:rFonts w:ascii="Times New Roman" w:hAnsi="Times New Roman"/>
        </w:rPr>
        <w:t>N</w:t>
      </w:r>
      <w:r w:rsidRPr="00C71E80">
        <w:rPr>
          <w:rFonts w:ascii="Times New Roman" w:hAnsi="Times New Roman"/>
        </w:rPr>
        <w:t xml:space="preserve">eural </w:t>
      </w:r>
      <w:r w:rsidR="0070501A">
        <w:rPr>
          <w:rFonts w:ascii="Times New Roman" w:hAnsi="Times New Roman"/>
        </w:rPr>
        <w:t>C</w:t>
      </w:r>
      <w:r w:rsidRPr="00C71E80">
        <w:rPr>
          <w:rFonts w:ascii="Times New Roman" w:hAnsi="Times New Roman"/>
        </w:rPr>
        <w:t xml:space="preserve">orrelates of </w:t>
      </w:r>
      <w:r w:rsidR="0070501A">
        <w:rPr>
          <w:rFonts w:ascii="Times New Roman" w:hAnsi="Times New Roman"/>
        </w:rPr>
        <w:t>C</w:t>
      </w:r>
      <w:r w:rsidRPr="00C71E80">
        <w:rPr>
          <w:rFonts w:ascii="Times New Roman" w:hAnsi="Times New Roman"/>
        </w:rPr>
        <w:t xml:space="preserve">ortisol </w:t>
      </w:r>
      <w:r w:rsidR="0070501A">
        <w:rPr>
          <w:rFonts w:ascii="Times New Roman" w:hAnsi="Times New Roman"/>
        </w:rPr>
        <w:t>Re</w:t>
      </w:r>
      <w:r w:rsidRPr="00C71E80">
        <w:rPr>
          <w:rFonts w:ascii="Times New Roman" w:hAnsi="Times New Roman"/>
        </w:rPr>
        <w:t xml:space="preserve">gulation in </w:t>
      </w:r>
      <w:r w:rsidR="0070501A">
        <w:rPr>
          <w:rFonts w:ascii="Times New Roman" w:hAnsi="Times New Roman"/>
        </w:rPr>
        <w:t>R</w:t>
      </w:r>
      <w:r w:rsidRPr="00C71E80">
        <w:rPr>
          <w:rFonts w:ascii="Times New Roman" w:hAnsi="Times New Roman"/>
        </w:rPr>
        <w:t xml:space="preserve">esponse to </w:t>
      </w:r>
      <w:r w:rsidR="0070501A">
        <w:rPr>
          <w:rFonts w:ascii="Times New Roman" w:hAnsi="Times New Roman"/>
        </w:rPr>
        <w:t>S</w:t>
      </w:r>
      <w:r w:rsidRPr="00C71E80">
        <w:rPr>
          <w:rFonts w:ascii="Times New Roman" w:hAnsi="Times New Roman"/>
        </w:rPr>
        <w:t xml:space="preserve">tress. </w:t>
      </w:r>
      <w:proofErr w:type="spellStart"/>
      <w:r w:rsidRPr="00C71E80">
        <w:rPr>
          <w:rFonts w:ascii="Times New Roman" w:hAnsi="Times New Roman"/>
        </w:rPr>
        <w:t>NeuroImage</w:t>
      </w:r>
      <w:proofErr w:type="spellEnd"/>
      <w:r w:rsidRPr="00C71E80">
        <w:rPr>
          <w:rFonts w:ascii="Times New Roman" w:hAnsi="Times New Roman"/>
        </w:rPr>
        <w:t xml:space="preserve">. 47(3):864–871. </w:t>
      </w:r>
    </w:p>
    <w:p w14:paraId="284EE4F7" w14:textId="25284B2A" w:rsidR="00263E2C" w:rsidRPr="00C71E80" w:rsidRDefault="00263E2C" w:rsidP="00263E2C">
      <w:pPr>
        <w:pStyle w:val="Bibliography"/>
        <w:rPr>
          <w:rFonts w:ascii="Times New Roman" w:hAnsi="Times New Roman"/>
        </w:rPr>
      </w:pPr>
      <w:r w:rsidRPr="00C71E80">
        <w:rPr>
          <w:rFonts w:ascii="Times New Roman" w:hAnsi="Times New Roman"/>
        </w:rPr>
        <w:t xml:space="preserve">Dick M, Niles L, Street E, DiMartino M, Mitchell S. 2014. Examining Mechanisms of Change in a Yoga Intervention for Women: The Influence of Mindfulness, Psychological Flexibility, and Emotion Regulation on PTSD Symptoms. J Clin Psychol. 70(12):1170–1182. </w:t>
      </w:r>
    </w:p>
    <w:p w14:paraId="75B2A760" w14:textId="15D8624D" w:rsidR="00263E2C" w:rsidRPr="00C71E80" w:rsidRDefault="00263E2C" w:rsidP="00263E2C">
      <w:pPr>
        <w:pStyle w:val="Bibliography"/>
        <w:rPr>
          <w:rFonts w:ascii="Times New Roman" w:hAnsi="Times New Roman"/>
        </w:rPr>
      </w:pPr>
      <w:r w:rsidRPr="00C71E80">
        <w:rPr>
          <w:rFonts w:ascii="Times New Roman" w:hAnsi="Times New Roman"/>
        </w:rPr>
        <w:t xml:space="preserve">Dunlop W, Wong A. 2019. The </w:t>
      </w:r>
      <w:r w:rsidR="00A60DD3">
        <w:rPr>
          <w:rFonts w:ascii="Times New Roman" w:hAnsi="Times New Roman"/>
        </w:rPr>
        <w:t>H</w:t>
      </w:r>
      <w:r w:rsidRPr="00C71E80">
        <w:rPr>
          <w:rFonts w:ascii="Times New Roman" w:hAnsi="Times New Roman"/>
        </w:rPr>
        <w:t>ypothalamic-</w:t>
      </w:r>
      <w:r w:rsidR="00A60DD3">
        <w:rPr>
          <w:rFonts w:ascii="Times New Roman" w:hAnsi="Times New Roman"/>
        </w:rPr>
        <w:t>P</w:t>
      </w:r>
      <w:r w:rsidRPr="00C71E80">
        <w:rPr>
          <w:rFonts w:ascii="Times New Roman" w:hAnsi="Times New Roman"/>
        </w:rPr>
        <w:t>ituitary-</w:t>
      </w:r>
      <w:r w:rsidR="00A60DD3">
        <w:rPr>
          <w:rFonts w:ascii="Times New Roman" w:hAnsi="Times New Roman"/>
        </w:rPr>
        <w:t>A</w:t>
      </w:r>
      <w:r w:rsidRPr="00C71E80">
        <w:rPr>
          <w:rFonts w:ascii="Times New Roman" w:hAnsi="Times New Roman"/>
        </w:rPr>
        <w:t xml:space="preserve">drenal </w:t>
      </w:r>
      <w:r w:rsidR="00A60DD3">
        <w:rPr>
          <w:rFonts w:ascii="Times New Roman" w:hAnsi="Times New Roman"/>
        </w:rPr>
        <w:t>A</w:t>
      </w:r>
      <w:r w:rsidRPr="00C71E80">
        <w:rPr>
          <w:rFonts w:ascii="Times New Roman" w:hAnsi="Times New Roman"/>
        </w:rPr>
        <w:t xml:space="preserve">xis in PTSD: Pathophysiology and </w:t>
      </w:r>
      <w:r w:rsidR="00A60DD3">
        <w:rPr>
          <w:rFonts w:ascii="Times New Roman" w:hAnsi="Times New Roman"/>
        </w:rPr>
        <w:t>Tr</w:t>
      </w:r>
      <w:r w:rsidRPr="00C71E80">
        <w:rPr>
          <w:rFonts w:ascii="Times New Roman" w:hAnsi="Times New Roman"/>
        </w:rPr>
        <w:t xml:space="preserve">eatment </w:t>
      </w:r>
      <w:r w:rsidR="00A60DD3">
        <w:rPr>
          <w:rFonts w:ascii="Times New Roman" w:hAnsi="Times New Roman"/>
        </w:rPr>
        <w:t>I</w:t>
      </w:r>
      <w:r w:rsidRPr="00C71E80">
        <w:rPr>
          <w:rFonts w:ascii="Times New Roman" w:hAnsi="Times New Roman"/>
        </w:rPr>
        <w:t xml:space="preserve">nterventions. Prog </w:t>
      </w:r>
      <w:proofErr w:type="spellStart"/>
      <w:r w:rsidRPr="00C71E80">
        <w:rPr>
          <w:rFonts w:ascii="Times New Roman" w:hAnsi="Times New Roman"/>
        </w:rPr>
        <w:t>Neuropsychopharmacol</w:t>
      </w:r>
      <w:proofErr w:type="spellEnd"/>
      <w:r w:rsidRPr="00C71E80">
        <w:rPr>
          <w:rFonts w:ascii="Times New Roman" w:hAnsi="Times New Roman"/>
        </w:rPr>
        <w:t xml:space="preserve"> Biol Psychiatry. 89:361–379. </w:t>
      </w:r>
    </w:p>
    <w:p w14:paraId="61CC114C" w14:textId="4A924500" w:rsidR="00263E2C" w:rsidRPr="00C71E80" w:rsidRDefault="00263E2C" w:rsidP="00263E2C">
      <w:pPr>
        <w:pStyle w:val="Bibliography"/>
        <w:rPr>
          <w:rFonts w:ascii="Times New Roman" w:hAnsi="Times New Roman"/>
        </w:rPr>
      </w:pPr>
      <w:r w:rsidRPr="00C71E80">
        <w:rPr>
          <w:rFonts w:ascii="Times New Roman" w:hAnsi="Times New Roman"/>
        </w:rPr>
        <w:t xml:space="preserve">Feder A, </w:t>
      </w:r>
      <w:proofErr w:type="spellStart"/>
      <w:r w:rsidRPr="00C71E80">
        <w:rPr>
          <w:rFonts w:ascii="Times New Roman" w:hAnsi="Times New Roman"/>
        </w:rPr>
        <w:t>Parides</w:t>
      </w:r>
      <w:proofErr w:type="spellEnd"/>
      <w:r w:rsidRPr="00C71E80">
        <w:rPr>
          <w:rFonts w:ascii="Times New Roman" w:hAnsi="Times New Roman"/>
        </w:rPr>
        <w:t xml:space="preserve"> K, </w:t>
      </w:r>
      <w:proofErr w:type="spellStart"/>
      <w:r w:rsidRPr="00C71E80">
        <w:rPr>
          <w:rFonts w:ascii="Times New Roman" w:hAnsi="Times New Roman"/>
        </w:rPr>
        <w:t>Murrough</w:t>
      </w:r>
      <w:proofErr w:type="spellEnd"/>
      <w:r w:rsidRPr="00C71E80">
        <w:rPr>
          <w:rFonts w:ascii="Times New Roman" w:hAnsi="Times New Roman"/>
        </w:rPr>
        <w:t xml:space="preserve"> W, Perez M, Morgan E, Saxena S, Kirkwood K, Rot M </w:t>
      </w:r>
      <w:proofErr w:type="spellStart"/>
      <w:r w:rsidRPr="00C71E80">
        <w:rPr>
          <w:rFonts w:ascii="Times New Roman" w:hAnsi="Times New Roman"/>
        </w:rPr>
        <w:t>aan</w:t>
      </w:r>
      <w:proofErr w:type="spellEnd"/>
      <w:r w:rsidRPr="00C71E80">
        <w:rPr>
          <w:rFonts w:ascii="Times New Roman" w:hAnsi="Times New Roman"/>
        </w:rPr>
        <w:t xml:space="preserve"> het, Lapidus B, Wan B, et al. 2014. Efficacy of Intravenous Ketamine for Treatment of Chronic Post</w:t>
      </w:r>
      <w:r w:rsidR="00A60DD3">
        <w:rPr>
          <w:rFonts w:ascii="Times New Roman" w:hAnsi="Times New Roman"/>
        </w:rPr>
        <w:t>-T</w:t>
      </w:r>
      <w:r w:rsidRPr="00C71E80">
        <w:rPr>
          <w:rFonts w:ascii="Times New Roman" w:hAnsi="Times New Roman"/>
        </w:rPr>
        <w:t xml:space="preserve">raumatic Stress Disorder: A Randomized Clinical Trial. JAMA Psychiatry. 71(6):681–688. </w:t>
      </w:r>
    </w:p>
    <w:p w14:paraId="6CC08186" w14:textId="416230EC" w:rsidR="00263E2C" w:rsidRPr="00C71E80" w:rsidRDefault="00263E2C" w:rsidP="00263E2C">
      <w:pPr>
        <w:pStyle w:val="Bibliography"/>
        <w:rPr>
          <w:rFonts w:ascii="Times New Roman" w:hAnsi="Times New Roman"/>
        </w:rPr>
      </w:pPr>
      <w:r w:rsidRPr="00C71E80">
        <w:rPr>
          <w:rFonts w:ascii="Times New Roman" w:hAnsi="Times New Roman"/>
        </w:rPr>
        <w:t xml:space="preserve">Fitzpatrick S, Saraiya T, Lopez-Castro T, </w:t>
      </w:r>
      <w:proofErr w:type="spellStart"/>
      <w:r w:rsidRPr="00C71E80">
        <w:rPr>
          <w:rFonts w:ascii="Times New Roman" w:hAnsi="Times New Roman"/>
        </w:rPr>
        <w:t>Ruglass</w:t>
      </w:r>
      <w:proofErr w:type="spellEnd"/>
      <w:r w:rsidRPr="00C71E80">
        <w:rPr>
          <w:rFonts w:ascii="Times New Roman" w:hAnsi="Times New Roman"/>
        </w:rPr>
        <w:t xml:space="preserve"> LM, Hien D. 2020. The </w:t>
      </w:r>
      <w:r w:rsidR="00A60DD3">
        <w:rPr>
          <w:rFonts w:ascii="Times New Roman" w:hAnsi="Times New Roman"/>
        </w:rPr>
        <w:t>I</w:t>
      </w:r>
      <w:r w:rsidRPr="00C71E80">
        <w:rPr>
          <w:rFonts w:ascii="Times New Roman" w:hAnsi="Times New Roman"/>
        </w:rPr>
        <w:t xml:space="preserve">mpact of </w:t>
      </w:r>
      <w:r w:rsidR="00A60DD3">
        <w:rPr>
          <w:rFonts w:ascii="Times New Roman" w:hAnsi="Times New Roman"/>
        </w:rPr>
        <w:t>T</w:t>
      </w:r>
      <w:r w:rsidRPr="00C71E80">
        <w:rPr>
          <w:rFonts w:ascii="Times New Roman" w:hAnsi="Times New Roman"/>
        </w:rPr>
        <w:t xml:space="preserve">rauma </w:t>
      </w:r>
      <w:r w:rsidR="00A60DD3">
        <w:rPr>
          <w:rFonts w:ascii="Times New Roman" w:hAnsi="Times New Roman"/>
        </w:rPr>
        <w:t>C</w:t>
      </w:r>
      <w:r w:rsidRPr="00C71E80">
        <w:rPr>
          <w:rFonts w:ascii="Times New Roman" w:hAnsi="Times New Roman"/>
        </w:rPr>
        <w:t xml:space="preserve">haracteristics on </w:t>
      </w:r>
      <w:r w:rsidR="00A60DD3">
        <w:rPr>
          <w:rFonts w:ascii="Times New Roman" w:hAnsi="Times New Roman"/>
        </w:rPr>
        <w:t>P</w:t>
      </w:r>
      <w:r w:rsidRPr="00C71E80">
        <w:rPr>
          <w:rFonts w:ascii="Times New Roman" w:hAnsi="Times New Roman"/>
        </w:rPr>
        <w:t>ost-</w:t>
      </w:r>
      <w:r w:rsidR="00A60DD3">
        <w:rPr>
          <w:rFonts w:ascii="Times New Roman" w:hAnsi="Times New Roman"/>
        </w:rPr>
        <w:t>Tr</w:t>
      </w:r>
      <w:r w:rsidRPr="00C71E80">
        <w:rPr>
          <w:rFonts w:ascii="Times New Roman" w:hAnsi="Times New Roman"/>
        </w:rPr>
        <w:t xml:space="preserve">aumatic </w:t>
      </w:r>
      <w:r w:rsidR="00A60DD3">
        <w:rPr>
          <w:rFonts w:ascii="Times New Roman" w:hAnsi="Times New Roman"/>
        </w:rPr>
        <w:t>S</w:t>
      </w:r>
      <w:r w:rsidRPr="00C71E80">
        <w:rPr>
          <w:rFonts w:ascii="Times New Roman" w:hAnsi="Times New Roman"/>
        </w:rPr>
        <w:t xml:space="preserve">tress </w:t>
      </w:r>
      <w:r w:rsidR="00A60DD3">
        <w:rPr>
          <w:rFonts w:ascii="Times New Roman" w:hAnsi="Times New Roman"/>
        </w:rPr>
        <w:t>D</w:t>
      </w:r>
      <w:r w:rsidRPr="00C71E80">
        <w:rPr>
          <w:rFonts w:ascii="Times New Roman" w:hAnsi="Times New Roman"/>
        </w:rPr>
        <w:t xml:space="preserve">isorder and </w:t>
      </w:r>
      <w:r w:rsidR="00A60DD3">
        <w:rPr>
          <w:rFonts w:ascii="Times New Roman" w:hAnsi="Times New Roman"/>
        </w:rPr>
        <w:t>S</w:t>
      </w:r>
      <w:r w:rsidRPr="00C71E80">
        <w:rPr>
          <w:rFonts w:ascii="Times New Roman" w:hAnsi="Times New Roman"/>
        </w:rPr>
        <w:t xml:space="preserve">ubstance </w:t>
      </w:r>
      <w:r w:rsidR="00A60DD3">
        <w:rPr>
          <w:rFonts w:ascii="Times New Roman" w:hAnsi="Times New Roman"/>
        </w:rPr>
        <w:t>U</w:t>
      </w:r>
      <w:r w:rsidRPr="00C71E80">
        <w:rPr>
          <w:rFonts w:ascii="Times New Roman" w:hAnsi="Times New Roman"/>
        </w:rPr>
        <w:t xml:space="preserve">se </w:t>
      </w:r>
      <w:r w:rsidR="00A60DD3">
        <w:rPr>
          <w:rFonts w:ascii="Times New Roman" w:hAnsi="Times New Roman"/>
        </w:rPr>
        <w:t>D</w:t>
      </w:r>
      <w:r w:rsidRPr="00C71E80">
        <w:rPr>
          <w:rFonts w:ascii="Times New Roman" w:hAnsi="Times New Roman"/>
        </w:rPr>
        <w:t xml:space="preserve">isorder </w:t>
      </w:r>
      <w:r w:rsidR="00A60DD3">
        <w:rPr>
          <w:rFonts w:ascii="Times New Roman" w:hAnsi="Times New Roman"/>
        </w:rPr>
        <w:t>O</w:t>
      </w:r>
      <w:r w:rsidRPr="00C71E80">
        <w:rPr>
          <w:rFonts w:ascii="Times New Roman" w:hAnsi="Times New Roman"/>
        </w:rPr>
        <w:t xml:space="preserve">utcomes </w:t>
      </w:r>
      <w:r w:rsidR="00A60DD3">
        <w:rPr>
          <w:rFonts w:ascii="Times New Roman" w:hAnsi="Times New Roman"/>
        </w:rPr>
        <w:t>A</w:t>
      </w:r>
      <w:r w:rsidRPr="00C71E80">
        <w:rPr>
          <w:rFonts w:ascii="Times New Roman" w:hAnsi="Times New Roman"/>
        </w:rPr>
        <w:t xml:space="preserve">cross </w:t>
      </w:r>
      <w:r w:rsidR="00A60DD3">
        <w:rPr>
          <w:rFonts w:ascii="Times New Roman" w:hAnsi="Times New Roman"/>
        </w:rPr>
        <w:t>I</w:t>
      </w:r>
      <w:r w:rsidRPr="00C71E80">
        <w:rPr>
          <w:rFonts w:ascii="Times New Roman" w:hAnsi="Times New Roman"/>
        </w:rPr>
        <w:t xml:space="preserve">ntegrated and </w:t>
      </w:r>
      <w:r w:rsidR="00A60DD3">
        <w:rPr>
          <w:rFonts w:ascii="Times New Roman" w:hAnsi="Times New Roman"/>
        </w:rPr>
        <w:t>S</w:t>
      </w:r>
      <w:r w:rsidRPr="00C71E80">
        <w:rPr>
          <w:rFonts w:ascii="Times New Roman" w:hAnsi="Times New Roman"/>
        </w:rPr>
        <w:t xml:space="preserve">ubstance </w:t>
      </w:r>
      <w:r w:rsidR="00A60DD3">
        <w:rPr>
          <w:rFonts w:ascii="Times New Roman" w:hAnsi="Times New Roman"/>
        </w:rPr>
        <w:t>U</w:t>
      </w:r>
      <w:r w:rsidRPr="00C71E80">
        <w:rPr>
          <w:rFonts w:ascii="Times New Roman" w:hAnsi="Times New Roman"/>
        </w:rPr>
        <w:t xml:space="preserve">se </w:t>
      </w:r>
      <w:r w:rsidR="00A60DD3">
        <w:rPr>
          <w:rFonts w:ascii="Times New Roman" w:hAnsi="Times New Roman"/>
        </w:rPr>
        <w:t>T</w:t>
      </w:r>
      <w:r w:rsidRPr="00C71E80">
        <w:rPr>
          <w:rFonts w:ascii="Times New Roman" w:hAnsi="Times New Roman"/>
        </w:rPr>
        <w:t xml:space="preserve">reatments. J </w:t>
      </w:r>
      <w:proofErr w:type="spellStart"/>
      <w:r w:rsidRPr="00C71E80">
        <w:rPr>
          <w:rFonts w:ascii="Times New Roman" w:hAnsi="Times New Roman"/>
        </w:rPr>
        <w:t>Subst</w:t>
      </w:r>
      <w:proofErr w:type="spellEnd"/>
      <w:r w:rsidRPr="00C71E80">
        <w:rPr>
          <w:rFonts w:ascii="Times New Roman" w:hAnsi="Times New Roman"/>
        </w:rPr>
        <w:t xml:space="preserve"> Abuse Treat. 113:107976. </w:t>
      </w:r>
    </w:p>
    <w:p w14:paraId="3035E79E" w14:textId="4046A662" w:rsidR="00263E2C" w:rsidRPr="00C71E80" w:rsidRDefault="00263E2C" w:rsidP="00263E2C">
      <w:pPr>
        <w:pStyle w:val="Bibliography"/>
        <w:rPr>
          <w:rFonts w:ascii="Times New Roman" w:hAnsi="Times New Roman"/>
        </w:rPr>
      </w:pPr>
      <w:r w:rsidRPr="00C71E80">
        <w:rPr>
          <w:rFonts w:ascii="Times New Roman" w:hAnsi="Times New Roman"/>
        </w:rPr>
        <w:t xml:space="preserve">Friedman J, </w:t>
      </w:r>
      <w:proofErr w:type="spellStart"/>
      <w:r w:rsidRPr="00C71E80">
        <w:rPr>
          <w:rFonts w:ascii="Times New Roman" w:hAnsi="Times New Roman"/>
        </w:rPr>
        <w:t>Marmar</w:t>
      </w:r>
      <w:proofErr w:type="spellEnd"/>
      <w:r w:rsidRPr="00C71E80">
        <w:rPr>
          <w:rFonts w:ascii="Times New Roman" w:hAnsi="Times New Roman"/>
        </w:rPr>
        <w:t xml:space="preserve"> R, Baker G, Sikes R, Farfel M. 2007. Randomized, </w:t>
      </w:r>
      <w:r w:rsidR="00A60DD3">
        <w:rPr>
          <w:rFonts w:ascii="Times New Roman" w:hAnsi="Times New Roman"/>
        </w:rPr>
        <w:t>D</w:t>
      </w:r>
      <w:r w:rsidRPr="00C71E80">
        <w:rPr>
          <w:rFonts w:ascii="Times New Roman" w:hAnsi="Times New Roman"/>
        </w:rPr>
        <w:t>ouble-</w:t>
      </w:r>
      <w:r w:rsidR="00A60DD3">
        <w:rPr>
          <w:rFonts w:ascii="Times New Roman" w:hAnsi="Times New Roman"/>
        </w:rPr>
        <w:t>B</w:t>
      </w:r>
      <w:r w:rsidRPr="00C71E80">
        <w:rPr>
          <w:rFonts w:ascii="Times New Roman" w:hAnsi="Times New Roman"/>
        </w:rPr>
        <w:t xml:space="preserve">lind </w:t>
      </w:r>
      <w:r w:rsidR="00A60DD3">
        <w:rPr>
          <w:rFonts w:ascii="Times New Roman" w:hAnsi="Times New Roman"/>
        </w:rPr>
        <w:t>C</w:t>
      </w:r>
      <w:r w:rsidRPr="00C71E80">
        <w:rPr>
          <w:rFonts w:ascii="Times New Roman" w:hAnsi="Times New Roman"/>
        </w:rPr>
        <w:t xml:space="preserve">omparison of </w:t>
      </w:r>
      <w:r w:rsidR="00A60DD3">
        <w:rPr>
          <w:rFonts w:ascii="Times New Roman" w:hAnsi="Times New Roman"/>
        </w:rPr>
        <w:t>S</w:t>
      </w:r>
      <w:r w:rsidRPr="00C71E80">
        <w:rPr>
          <w:rFonts w:ascii="Times New Roman" w:hAnsi="Times New Roman"/>
        </w:rPr>
        <w:t xml:space="preserve">ertraline and </w:t>
      </w:r>
      <w:r w:rsidR="00A60DD3">
        <w:rPr>
          <w:rFonts w:ascii="Times New Roman" w:hAnsi="Times New Roman"/>
        </w:rPr>
        <w:t>P</w:t>
      </w:r>
      <w:r w:rsidRPr="00C71E80">
        <w:rPr>
          <w:rFonts w:ascii="Times New Roman" w:hAnsi="Times New Roman"/>
        </w:rPr>
        <w:t xml:space="preserve">lacebo for </w:t>
      </w:r>
      <w:r w:rsidR="00A60DD3">
        <w:rPr>
          <w:rFonts w:ascii="Times New Roman" w:hAnsi="Times New Roman"/>
        </w:rPr>
        <w:t>P</w:t>
      </w:r>
      <w:r w:rsidRPr="00C71E80">
        <w:rPr>
          <w:rFonts w:ascii="Times New Roman" w:hAnsi="Times New Roman"/>
        </w:rPr>
        <w:t>ost</w:t>
      </w:r>
      <w:r w:rsidR="00A60DD3">
        <w:rPr>
          <w:rFonts w:ascii="Times New Roman" w:hAnsi="Times New Roman"/>
        </w:rPr>
        <w:t>-T</w:t>
      </w:r>
      <w:r w:rsidRPr="00C71E80">
        <w:rPr>
          <w:rFonts w:ascii="Times New Roman" w:hAnsi="Times New Roman"/>
        </w:rPr>
        <w:t xml:space="preserve">raumatic </w:t>
      </w:r>
      <w:r w:rsidR="00A60DD3">
        <w:rPr>
          <w:rFonts w:ascii="Times New Roman" w:hAnsi="Times New Roman"/>
        </w:rPr>
        <w:t>S</w:t>
      </w:r>
      <w:r w:rsidRPr="00C71E80">
        <w:rPr>
          <w:rFonts w:ascii="Times New Roman" w:hAnsi="Times New Roman"/>
        </w:rPr>
        <w:t xml:space="preserve">tress </w:t>
      </w:r>
      <w:r w:rsidR="00A60DD3">
        <w:rPr>
          <w:rFonts w:ascii="Times New Roman" w:hAnsi="Times New Roman"/>
        </w:rPr>
        <w:t>D</w:t>
      </w:r>
      <w:r w:rsidRPr="00C71E80">
        <w:rPr>
          <w:rFonts w:ascii="Times New Roman" w:hAnsi="Times New Roman"/>
        </w:rPr>
        <w:t xml:space="preserve">isorder in a Department of Veterans Affairs </w:t>
      </w:r>
      <w:r w:rsidR="00A60DD3">
        <w:rPr>
          <w:rFonts w:ascii="Times New Roman" w:hAnsi="Times New Roman"/>
        </w:rPr>
        <w:t>S</w:t>
      </w:r>
      <w:r w:rsidRPr="00C71E80">
        <w:rPr>
          <w:rFonts w:ascii="Times New Roman" w:hAnsi="Times New Roman"/>
        </w:rPr>
        <w:t xml:space="preserve">etting. J Clin Psychiatry. 68(5):711–720. </w:t>
      </w:r>
    </w:p>
    <w:p w14:paraId="1F036EA5" w14:textId="1ADFE009" w:rsidR="00263E2C" w:rsidRPr="00C71E80" w:rsidRDefault="00263E2C" w:rsidP="00263E2C">
      <w:pPr>
        <w:pStyle w:val="Bibliography"/>
        <w:rPr>
          <w:rFonts w:ascii="Times New Roman" w:hAnsi="Times New Roman"/>
        </w:rPr>
      </w:pPr>
      <w:proofErr w:type="spellStart"/>
      <w:r w:rsidRPr="00C71E80">
        <w:rPr>
          <w:rFonts w:ascii="Times New Roman" w:hAnsi="Times New Roman"/>
        </w:rPr>
        <w:t>Fubini</w:t>
      </w:r>
      <w:proofErr w:type="spellEnd"/>
      <w:r w:rsidRPr="00C71E80">
        <w:rPr>
          <w:rFonts w:ascii="Times New Roman" w:hAnsi="Times New Roman"/>
        </w:rPr>
        <w:t xml:space="preserve"> B, Hubbard A. 2003. Reactive </w:t>
      </w:r>
      <w:r w:rsidR="00093472">
        <w:rPr>
          <w:rFonts w:ascii="Times New Roman" w:hAnsi="Times New Roman"/>
        </w:rPr>
        <w:t>O</w:t>
      </w:r>
      <w:r w:rsidRPr="00C71E80">
        <w:rPr>
          <w:rFonts w:ascii="Times New Roman" w:hAnsi="Times New Roman"/>
        </w:rPr>
        <w:t xml:space="preserve">xygen </w:t>
      </w:r>
      <w:r w:rsidR="00093472">
        <w:rPr>
          <w:rFonts w:ascii="Times New Roman" w:hAnsi="Times New Roman"/>
        </w:rPr>
        <w:t>S</w:t>
      </w:r>
      <w:r w:rsidRPr="00C71E80">
        <w:rPr>
          <w:rFonts w:ascii="Times New Roman" w:hAnsi="Times New Roman"/>
        </w:rPr>
        <w:t xml:space="preserve">pecies (ROS) and </w:t>
      </w:r>
      <w:r w:rsidR="00093472">
        <w:rPr>
          <w:rFonts w:ascii="Times New Roman" w:hAnsi="Times New Roman"/>
        </w:rPr>
        <w:t>R</w:t>
      </w:r>
      <w:r w:rsidRPr="00C71E80">
        <w:rPr>
          <w:rFonts w:ascii="Times New Roman" w:hAnsi="Times New Roman"/>
        </w:rPr>
        <w:t xml:space="preserve">eactive </w:t>
      </w:r>
      <w:r w:rsidR="00093472">
        <w:rPr>
          <w:rFonts w:ascii="Times New Roman" w:hAnsi="Times New Roman"/>
        </w:rPr>
        <w:t>N</w:t>
      </w:r>
      <w:r w:rsidRPr="00C71E80">
        <w:rPr>
          <w:rFonts w:ascii="Times New Roman" w:hAnsi="Times New Roman"/>
        </w:rPr>
        <w:t xml:space="preserve">itrogen </w:t>
      </w:r>
      <w:r w:rsidR="00093472">
        <w:rPr>
          <w:rFonts w:ascii="Times New Roman" w:hAnsi="Times New Roman"/>
        </w:rPr>
        <w:t>S</w:t>
      </w:r>
      <w:r w:rsidRPr="00C71E80">
        <w:rPr>
          <w:rFonts w:ascii="Times New Roman" w:hAnsi="Times New Roman"/>
        </w:rPr>
        <w:t xml:space="preserve">pecies (RNS) </w:t>
      </w:r>
      <w:r w:rsidR="00093472">
        <w:rPr>
          <w:rFonts w:ascii="Times New Roman" w:hAnsi="Times New Roman"/>
        </w:rPr>
        <w:t>G</w:t>
      </w:r>
      <w:r w:rsidRPr="00C71E80">
        <w:rPr>
          <w:rFonts w:ascii="Times New Roman" w:hAnsi="Times New Roman"/>
        </w:rPr>
        <w:t xml:space="preserve">eneration by </w:t>
      </w:r>
      <w:r w:rsidR="00093472">
        <w:rPr>
          <w:rFonts w:ascii="Times New Roman" w:hAnsi="Times New Roman"/>
        </w:rPr>
        <w:t>S</w:t>
      </w:r>
      <w:r w:rsidRPr="00C71E80">
        <w:rPr>
          <w:rFonts w:ascii="Times New Roman" w:hAnsi="Times New Roman"/>
        </w:rPr>
        <w:t xml:space="preserve">ilica in </w:t>
      </w:r>
      <w:r w:rsidR="00093472">
        <w:rPr>
          <w:rFonts w:ascii="Times New Roman" w:hAnsi="Times New Roman"/>
        </w:rPr>
        <w:t>I</w:t>
      </w:r>
      <w:r w:rsidRPr="00C71E80">
        <w:rPr>
          <w:rFonts w:ascii="Times New Roman" w:hAnsi="Times New Roman"/>
        </w:rPr>
        <w:t xml:space="preserve">nflammation and </w:t>
      </w:r>
      <w:r w:rsidR="00093472">
        <w:rPr>
          <w:rFonts w:ascii="Times New Roman" w:hAnsi="Times New Roman"/>
        </w:rPr>
        <w:t>F</w:t>
      </w:r>
      <w:r w:rsidRPr="00C71E80">
        <w:rPr>
          <w:rFonts w:ascii="Times New Roman" w:hAnsi="Times New Roman"/>
        </w:rPr>
        <w:t xml:space="preserve">ibrosis. Free </w:t>
      </w:r>
      <w:proofErr w:type="spellStart"/>
      <w:r w:rsidRPr="00C71E80">
        <w:rPr>
          <w:rFonts w:ascii="Times New Roman" w:hAnsi="Times New Roman"/>
        </w:rPr>
        <w:t>Radic</w:t>
      </w:r>
      <w:proofErr w:type="spellEnd"/>
      <w:r w:rsidRPr="00C71E80">
        <w:rPr>
          <w:rFonts w:ascii="Times New Roman" w:hAnsi="Times New Roman"/>
        </w:rPr>
        <w:t xml:space="preserve"> Biol Med. 34(12):1507–1516. </w:t>
      </w:r>
    </w:p>
    <w:p w14:paraId="61B8660A" w14:textId="591E1CB7" w:rsidR="00263E2C" w:rsidRPr="00C71E80" w:rsidRDefault="00263E2C" w:rsidP="00263E2C">
      <w:pPr>
        <w:pStyle w:val="Bibliography"/>
        <w:rPr>
          <w:rFonts w:ascii="Times New Roman" w:hAnsi="Times New Roman"/>
        </w:rPr>
      </w:pPr>
      <w:r w:rsidRPr="00C71E80">
        <w:rPr>
          <w:rFonts w:ascii="Times New Roman" w:hAnsi="Times New Roman"/>
        </w:rPr>
        <w:t xml:space="preserve">Fulton JJ, Calhoun S, Wagner R, </w:t>
      </w:r>
      <w:proofErr w:type="spellStart"/>
      <w:r w:rsidRPr="00C71E80">
        <w:rPr>
          <w:rFonts w:ascii="Times New Roman" w:hAnsi="Times New Roman"/>
        </w:rPr>
        <w:t>Schry</w:t>
      </w:r>
      <w:proofErr w:type="spellEnd"/>
      <w:r w:rsidRPr="00C71E80">
        <w:rPr>
          <w:rFonts w:ascii="Times New Roman" w:hAnsi="Times New Roman"/>
        </w:rPr>
        <w:t xml:space="preserve"> R, Hair P, Feeling N, </w:t>
      </w:r>
      <w:proofErr w:type="spellStart"/>
      <w:r w:rsidRPr="00C71E80">
        <w:rPr>
          <w:rFonts w:ascii="Times New Roman" w:hAnsi="Times New Roman"/>
        </w:rPr>
        <w:t>Elbogen</w:t>
      </w:r>
      <w:proofErr w:type="spellEnd"/>
      <w:r w:rsidRPr="00C71E80">
        <w:rPr>
          <w:rFonts w:ascii="Times New Roman" w:hAnsi="Times New Roman"/>
        </w:rPr>
        <w:t xml:space="preserve"> E, Beckham JC. 2015. The </w:t>
      </w:r>
      <w:r w:rsidR="00093472">
        <w:rPr>
          <w:rFonts w:ascii="Times New Roman" w:hAnsi="Times New Roman"/>
        </w:rPr>
        <w:t>P</w:t>
      </w:r>
      <w:r w:rsidRPr="00C71E80">
        <w:rPr>
          <w:rFonts w:ascii="Times New Roman" w:hAnsi="Times New Roman"/>
        </w:rPr>
        <w:t xml:space="preserve">revalence of </w:t>
      </w:r>
      <w:r w:rsidR="00093472">
        <w:rPr>
          <w:rFonts w:ascii="Times New Roman" w:hAnsi="Times New Roman"/>
        </w:rPr>
        <w:t>P</w:t>
      </w:r>
      <w:r w:rsidRPr="00C71E80">
        <w:rPr>
          <w:rFonts w:ascii="Times New Roman" w:hAnsi="Times New Roman"/>
        </w:rPr>
        <w:t>ost</w:t>
      </w:r>
      <w:r w:rsidR="00093472">
        <w:rPr>
          <w:rFonts w:ascii="Times New Roman" w:hAnsi="Times New Roman"/>
        </w:rPr>
        <w:t>-T</w:t>
      </w:r>
      <w:r w:rsidRPr="00C71E80">
        <w:rPr>
          <w:rFonts w:ascii="Times New Roman" w:hAnsi="Times New Roman"/>
        </w:rPr>
        <w:t xml:space="preserve">raumatic </w:t>
      </w:r>
      <w:r w:rsidR="00093472">
        <w:rPr>
          <w:rFonts w:ascii="Times New Roman" w:hAnsi="Times New Roman"/>
        </w:rPr>
        <w:t>S</w:t>
      </w:r>
      <w:r w:rsidRPr="00C71E80">
        <w:rPr>
          <w:rFonts w:ascii="Times New Roman" w:hAnsi="Times New Roman"/>
        </w:rPr>
        <w:t xml:space="preserve">tress </w:t>
      </w:r>
      <w:r w:rsidR="00093472">
        <w:rPr>
          <w:rFonts w:ascii="Times New Roman" w:hAnsi="Times New Roman"/>
        </w:rPr>
        <w:t>Di</w:t>
      </w:r>
      <w:r w:rsidRPr="00C71E80">
        <w:rPr>
          <w:rFonts w:ascii="Times New Roman" w:hAnsi="Times New Roman"/>
        </w:rPr>
        <w:t xml:space="preserve">sorder in Operation Enduring Freedom/Operation Iraqi Freedom (OEF/OIF) Veterans: A </w:t>
      </w:r>
      <w:r w:rsidR="00340320">
        <w:rPr>
          <w:rFonts w:ascii="Times New Roman" w:hAnsi="Times New Roman"/>
        </w:rPr>
        <w:t>M</w:t>
      </w:r>
      <w:r w:rsidRPr="00C71E80">
        <w:rPr>
          <w:rFonts w:ascii="Times New Roman" w:hAnsi="Times New Roman"/>
        </w:rPr>
        <w:t>eta-</w:t>
      </w:r>
      <w:r w:rsidR="00340320">
        <w:rPr>
          <w:rFonts w:ascii="Times New Roman" w:hAnsi="Times New Roman"/>
        </w:rPr>
        <w:t>A</w:t>
      </w:r>
      <w:r w:rsidRPr="00C71E80">
        <w:rPr>
          <w:rFonts w:ascii="Times New Roman" w:hAnsi="Times New Roman"/>
        </w:rPr>
        <w:t xml:space="preserve">nalysis. J Anxiety </w:t>
      </w:r>
      <w:proofErr w:type="spellStart"/>
      <w:r w:rsidRPr="00C71E80">
        <w:rPr>
          <w:rFonts w:ascii="Times New Roman" w:hAnsi="Times New Roman"/>
        </w:rPr>
        <w:t>Disord</w:t>
      </w:r>
      <w:proofErr w:type="spellEnd"/>
      <w:r w:rsidRPr="00C71E80">
        <w:rPr>
          <w:rFonts w:ascii="Times New Roman" w:hAnsi="Times New Roman"/>
        </w:rPr>
        <w:t xml:space="preserve">. 31:98–107. </w:t>
      </w:r>
    </w:p>
    <w:p w14:paraId="7A2F6D03" w14:textId="05BAE470" w:rsidR="00263E2C" w:rsidRDefault="00263E2C" w:rsidP="00263E2C">
      <w:pPr>
        <w:pStyle w:val="Bibliography"/>
        <w:rPr>
          <w:rFonts w:ascii="Times New Roman" w:hAnsi="Times New Roman"/>
        </w:rPr>
      </w:pPr>
      <w:proofErr w:type="spellStart"/>
      <w:r w:rsidRPr="00C71E80">
        <w:rPr>
          <w:rFonts w:ascii="Times New Roman" w:hAnsi="Times New Roman"/>
        </w:rPr>
        <w:t>Furst</w:t>
      </w:r>
      <w:proofErr w:type="spellEnd"/>
      <w:r w:rsidRPr="00C71E80">
        <w:rPr>
          <w:rFonts w:ascii="Times New Roman" w:hAnsi="Times New Roman"/>
        </w:rPr>
        <w:t xml:space="preserve"> G. 2016. Helping War Veterans with Post</w:t>
      </w:r>
      <w:r w:rsidR="00340320">
        <w:rPr>
          <w:rFonts w:ascii="Times New Roman" w:hAnsi="Times New Roman"/>
        </w:rPr>
        <w:t>-T</w:t>
      </w:r>
      <w:r w:rsidRPr="00C71E80">
        <w:rPr>
          <w:rFonts w:ascii="Times New Roman" w:hAnsi="Times New Roman"/>
        </w:rPr>
        <w:t xml:space="preserve">raumatic Stress Disorder: Incarcerated Individuals’ Role in Therapeutic Animal Programs. J </w:t>
      </w:r>
      <w:proofErr w:type="spellStart"/>
      <w:r w:rsidRPr="00C71E80">
        <w:rPr>
          <w:rFonts w:ascii="Times New Roman" w:hAnsi="Times New Roman"/>
        </w:rPr>
        <w:t>Psychosoc</w:t>
      </w:r>
      <w:proofErr w:type="spellEnd"/>
      <w:r w:rsidRPr="00C71E80">
        <w:rPr>
          <w:rFonts w:ascii="Times New Roman" w:hAnsi="Times New Roman"/>
        </w:rPr>
        <w:t xml:space="preserve"> </w:t>
      </w:r>
      <w:proofErr w:type="spellStart"/>
      <w:r w:rsidRPr="00C71E80">
        <w:rPr>
          <w:rFonts w:ascii="Times New Roman" w:hAnsi="Times New Roman"/>
        </w:rPr>
        <w:t>Nurs</w:t>
      </w:r>
      <w:proofErr w:type="spellEnd"/>
      <w:r w:rsidRPr="00C71E80">
        <w:rPr>
          <w:rFonts w:ascii="Times New Roman" w:hAnsi="Times New Roman"/>
        </w:rPr>
        <w:t xml:space="preserve"> </w:t>
      </w:r>
      <w:proofErr w:type="spellStart"/>
      <w:r w:rsidRPr="00C71E80">
        <w:rPr>
          <w:rFonts w:ascii="Times New Roman" w:hAnsi="Times New Roman"/>
        </w:rPr>
        <w:t>Ment</w:t>
      </w:r>
      <w:proofErr w:type="spellEnd"/>
      <w:r w:rsidRPr="00C71E80">
        <w:rPr>
          <w:rFonts w:ascii="Times New Roman" w:hAnsi="Times New Roman"/>
        </w:rPr>
        <w:t xml:space="preserve"> Health Serv Thorofare. 54(5):49–57. </w:t>
      </w:r>
    </w:p>
    <w:p w14:paraId="2019C308" w14:textId="224B7EEA" w:rsidR="0046248A" w:rsidRDefault="0046248A" w:rsidP="0046248A">
      <w:proofErr w:type="spellStart"/>
      <w:r>
        <w:t>Gaffey</w:t>
      </w:r>
      <w:proofErr w:type="spellEnd"/>
      <w:r>
        <w:t xml:space="preserve"> E, Walsh C, Ladd O, </w:t>
      </w:r>
      <w:proofErr w:type="spellStart"/>
      <w:r>
        <w:t>Hoks</w:t>
      </w:r>
      <w:proofErr w:type="spellEnd"/>
      <w:r>
        <w:t xml:space="preserve"> M, Abercrombie C. 2019. Alterations in Systemic and Cognitive Glucocorticoid Sensitivity in Depression. Biol Psychiatry </w:t>
      </w:r>
      <w:proofErr w:type="spellStart"/>
      <w:r>
        <w:t>Cogn</w:t>
      </w:r>
      <w:proofErr w:type="spellEnd"/>
      <w:r>
        <w:t xml:space="preserve"> </w:t>
      </w:r>
      <w:proofErr w:type="spellStart"/>
      <w:r>
        <w:t>Neurosci</w:t>
      </w:r>
      <w:proofErr w:type="spellEnd"/>
      <w:r>
        <w:t xml:space="preserve"> Neuroimaging. 4(3):310–320. </w:t>
      </w:r>
    </w:p>
    <w:p w14:paraId="6DDA57A7" w14:textId="6C619FFF" w:rsidR="0046248A" w:rsidRDefault="0046248A" w:rsidP="0046248A"/>
    <w:p w14:paraId="7843DD10" w14:textId="77777777" w:rsidR="0046248A" w:rsidRPr="0046248A" w:rsidRDefault="0046248A" w:rsidP="0046248A"/>
    <w:p w14:paraId="08761510" w14:textId="6DBA2BB9" w:rsidR="00263E2C" w:rsidRPr="00C71E80" w:rsidRDefault="00263E2C" w:rsidP="00263E2C">
      <w:pPr>
        <w:pStyle w:val="Bibliography"/>
        <w:rPr>
          <w:rFonts w:ascii="Times New Roman" w:hAnsi="Times New Roman"/>
        </w:rPr>
      </w:pPr>
      <w:r w:rsidRPr="00C71E80">
        <w:rPr>
          <w:rFonts w:ascii="Times New Roman" w:hAnsi="Times New Roman"/>
        </w:rPr>
        <w:t xml:space="preserve">Gates A, </w:t>
      </w:r>
      <w:proofErr w:type="spellStart"/>
      <w:r w:rsidRPr="00C71E80">
        <w:rPr>
          <w:rFonts w:ascii="Times New Roman" w:hAnsi="Times New Roman"/>
        </w:rPr>
        <w:t>Holowka</w:t>
      </w:r>
      <w:proofErr w:type="spellEnd"/>
      <w:r w:rsidRPr="00C71E80">
        <w:rPr>
          <w:rFonts w:ascii="Times New Roman" w:hAnsi="Times New Roman"/>
        </w:rPr>
        <w:t xml:space="preserve"> W, </w:t>
      </w:r>
      <w:proofErr w:type="spellStart"/>
      <w:r w:rsidRPr="00C71E80">
        <w:rPr>
          <w:rFonts w:ascii="Times New Roman" w:hAnsi="Times New Roman"/>
        </w:rPr>
        <w:t>Vasterling</w:t>
      </w:r>
      <w:proofErr w:type="spellEnd"/>
      <w:r w:rsidRPr="00C71E80">
        <w:rPr>
          <w:rFonts w:ascii="Times New Roman" w:hAnsi="Times New Roman"/>
        </w:rPr>
        <w:t xml:space="preserve"> J, Keane M, Marx P, Rosen C. 2012. Post</w:t>
      </w:r>
      <w:r w:rsidR="00340320">
        <w:rPr>
          <w:rFonts w:ascii="Times New Roman" w:hAnsi="Times New Roman"/>
        </w:rPr>
        <w:t>-T</w:t>
      </w:r>
      <w:r w:rsidRPr="00C71E80">
        <w:rPr>
          <w:rFonts w:ascii="Times New Roman" w:hAnsi="Times New Roman"/>
        </w:rPr>
        <w:t xml:space="preserve">raumatic </w:t>
      </w:r>
      <w:r w:rsidR="00340320">
        <w:rPr>
          <w:rFonts w:ascii="Times New Roman" w:hAnsi="Times New Roman"/>
        </w:rPr>
        <w:t>S</w:t>
      </w:r>
      <w:r w:rsidRPr="00C71E80">
        <w:rPr>
          <w:rFonts w:ascii="Times New Roman" w:hAnsi="Times New Roman"/>
        </w:rPr>
        <w:t xml:space="preserve">tress </w:t>
      </w:r>
      <w:r w:rsidR="00340320">
        <w:rPr>
          <w:rFonts w:ascii="Times New Roman" w:hAnsi="Times New Roman"/>
        </w:rPr>
        <w:t>D</w:t>
      </w:r>
      <w:r w:rsidRPr="00C71E80">
        <w:rPr>
          <w:rFonts w:ascii="Times New Roman" w:hAnsi="Times New Roman"/>
        </w:rPr>
        <w:t xml:space="preserve">isorder in </w:t>
      </w:r>
      <w:r w:rsidR="00340320">
        <w:rPr>
          <w:rFonts w:ascii="Times New Roman" w:hAnsi="Times New Roman"/>
        </w:rPr>
        <w:t>V</w:t>
      </w:r>
      <w:r w:rsidRPr="00C71E80">
        <w:rPr>
          <w:rFonts w:ascii="Times New Roman" w:hAnsi="Times New Roman"/>
        </w:rPr>
        <w:t xml:space="preserve">eterans and </w:t>
      </w:r>
      <w:r w:rsidR="00340320">
        <w:rPr>
          <w:rFonts w:ascii="Times New Roman" w:hAnsi="Times New Roman"/>
        </w:rPr>
        <w:t>M</w:t>
      </w:r>
      <w:r w:rsidRPr="00C71E80">
        <w:rPr>
          <w:rFonts w:ascii="Times New Roman" w:hAnsi="Times New Roman"/>
        </w:rPr>
        <w:t xml:space="preserve">ilitary </w:t>
      </w:r>
      <w:r w:rsidR="00340320">
        <w:rPr>
          <w:rFonts w:ascii="Times New Roman" w:hAnsi="Times New Roman"/>
        </w:rPr>
        <w:t>P</w:t>
      </w:r>
      <w:r w:rsidRPr="00C71E80">
        <w:rPr>
          <w:rFonts w:ascii="Times New Roman" w:hAnsi="Times New Roman"/>
        </w:rPr>
        <w:t xml:space="preserve">ersonnel: Epidemiology, </w:t>
      </w:r>
      <w:r w:rsidR="00340320">
        <w:rPr>
          <w:rFonts w:ascii="Times New Roman" w:hAnsi="Times New Roman"/>
        </w:rPr>
        <w:t>S</w:t>
      </w:r>
      <w:r w:rsidRPr="00C71E80">
        <w:rPr>
          <w:rFonts w:ascii="Times New Roman" w:hAnsi="Times New Roman"/>
        </w:rPr>
        <w:t xml:space="preserve">creening, and </w:t>
      </w:r>
      <w:r w:rsidR="00340320">
        <w:rPr>
          <w:rFonts w:ascii="Times New Roman" w:hAnsi="Times New Roman"/>
        </w:rPr>
        <w:t>C</w:t>
      </w:r>
      <w:r w:rsidRPr="00C71E80">
        <w:rPr>
          <w:rFonts w:ascii="Times New Roman" w:hAnsi="Times New Roman"/>
        </w:rPr>
        <w:t xml:space="preserve">ase </w:t>
      </w:r>
      <w:r w:rsidR="00340320">
        <w:rPr>
          <w:rFonts w:ascii="Times New Roman" w:hAnsi="Times New Roman"/>
        </w:rPr>
        <w:t>R</w:t>
      </w:r>
      <w:r w:rsidRPr="00C71E80">
        <w:rPr>
          <w:rFonts w:ascii="Times New Roman" w:hAnsi="Times New Roman"/>
        </w:rPr>
        <w:t xml:space="preserve">ecognition. Psychol Serv. 9(4):361–382. </w:t>
      </w:r>
    </w:p>
    <w:p w14:paraId="3512BBCA" w14:textId="2B5B8709" w:rsidR="00263E2C" w:rsidRPr="00C71E80" w:rsidRDefault="00263E2C" w:rsidP="00263E2C">
      <w:pPr>
        <w:pStyle w:val="Bibliography"/>
        <w:rPr>
          <w:rFonts w:ascii="Times New Roman" w:hAnsi="Times New Roman"/>
        </w:rPr>
      </w:pPr>
      <w:r w:rsidRPr="00C71E80">
        <w:rPr>
          <w:rFonts w:ascii="Times New Roman" w:hAnsi="Times New Roman"/>
        </w:rPr>
        <w:lastRenderedPageBreak/>
        <w:t xml:space="preserve">Glass M, </w:t>
      </w:r>
      <w:proofErr w:type="spellStart"/>
      <w:r w:rsidRPr="00C71E80">
        <w:rPr>
          <w:rFonts w:ascii="Times New Roman" w:hAnsi="Times New Roman"/>
        </w:rPr>
        <w:t>Dragunow</w:t>
      </w:r>
      <w:proofErr w:type="spellEnd"/>
      <w:r w:rsidRPr="00C71E80">
        <w:rPr>
          <w:rFonts w:ascii="Times New Roman" w:hAnsi="Times New Roman"/>
        </w:rPr>
        <w:t xml:space="preserve"> M, Faull RL. 1997. Cannabinoid </w:t>
      </w:r>
      <w:r w:rsidR="00340320">
        <w:rPr>
          <w:rFonts w:ascii="Times New Roman" w:hAnsi="Times New Roman"/>
        </w:rPr>
        <w:t>R</w:t>
      </w:r>
      <w:r w:rsidRPr="00C71E80">
        <w:rPr>
          <w:rFonts w:ascii="Times New Roman" w:hAnsi="Times New Roman"/>
        </w:rPr>
        <w:t xml:space="preserve">eceptors in the </w:t>
      </w:r>
      <w:r w:rsidR="00340320">
        <w:rPr>
          <w:rFonts w:ascii="Times New Roman" w:hAnsi="Times New Roman"/>
        </w:rPr>
        <w:t>H</w:t>
      </w:r>
      <w:r w:rsidRPr="00C71E80">
        <w:rPr>
          <w:rFonts w:ascii="Times New Roman" w:hAnsi="Times New Roman"/>
        </w:rPr>
        <w:t xml:space="preserve">uman </w:t>
      </w:r>
      <w:r w:rsidR="00340320">
        <w:rPr>
          <w:rFonts w:ascii="Times New Roman" w:hAnsi="Times New Roman"/>
        </w:rPr>
        <w:t>B</w:t>
      </w:r>
      <w:r w:rsidRPr="00C71E80">
        <w:rPr>
          <w:rFonts w:ascii="Times New Roman" w:hAnsi="Times New Roman"/>
        </w:rPr>
        <w:t xml:space="preserve">rain: a </w:t>
      </w:r>
      <w:r w:rsidR="00340320">
        <w:rPr>
          <w:rFonts w:ascii="Times New Roman" w:hAnsi="Times New Roman"/>
        </w:rPr>
        <w:t>D</w:t>
      </w:r>
      <w:r w:rsidRPr="00C71E80">
        <w:rPr>
          <w:rFonts w:ascii="Times New Roman" w:hAnsi="Times New Roman"/>
        </w:rPr>
        <w:t xml:space="preserve">etailed </w:t>
      </w:r>
      <w:r w:rsidR="00340320">
        <w:rPr>
          <w:rFonts w:ascii="Times New Roman" w:hAnsi="Times New Roman"/>
        </w:rPr>
        <w:t>A</w:t>
      </w:r>
      <w:r w:rsidRPr="00C71E80">
        <w:rPr>
          <w:rFonts w:ascii="Times New Roman" w:hAnsi="Times New Roman"/>
        </w:rPr>
        <w:t xml:space="preserve">natomical and </w:t>
      </w:r>
      <w:r w:rsidR="00340320">
        <w:rPr>
          <w:rFonts w:ascii="Times New Roman" w:hAnsi="Times New Roman"/>
        </w:rPr>
        <w:t>Q</w:t>
      </w:r>
      <w:r w:rsidRPr="00C71E80">
        <w:rPr>
          <w:rFonts w:ascii="Times New Roman" w:hAnsi="Times New Roman"/>
        </w:rPr>
        <w:t xml:space="preserve">uantitative </w:t>
      </w:r>
      <w:r w:rsidR="00340320">
        <w:rPr>
          <w:rFonts w:ascii="Times New Roman" w:hAnsi="Times New Roman"/>
        </w:rPr>
        <w:t>A</w:t>
      </w:r>
      <w:r w:rsidRPr="00C71E80">
        <w:rPr>
          <w:rFonts w:ascii="Times New Roman" w:hAnsi="Times New Roman"/>
        </w:rPr>
        <w:t xml:space="preserve">utoradiographic </w:t>
      </w:r>
      <w:r w:rsidR="00340320">
        <w:rPr>
          <w:rFonts w:ascii="Times New Roman" w:hAnsi="Times New Roman"/>
        </w:rPr>
        <w:t>S</w:t>
      </w:r>
      <w:r w:rsidRPr="00C71E80">
        <w:rPr>
          <w:rFonts w:ascii="Times New Roman" w:hAnsi="Times New Roman"/>
        </w:rPr>
        <w:t xml:space="preserve">tudy in the </w:t>
      </w:r>
      <w:r w:rsidR="00340320">
        <w:rPr>
          <w:rFonts w:ascii="Times New Roman" w:hAnsi="Times New Roman"/>
        </w:rPr>
        <w:t>F</w:t>
      </w:r>
      <w:r w:rsidRPr="00C71E80">
        <w:rPr>
          <w:rFonts w:ascii="Times New Roman" w:hAnsi="Times New Roman"/>
        </w:rPr>
        <w:t xml:space="preserve">etal, </w:t>
      </w:r>
      <w:r w:rsidR="00340320">
        <w:rPr>
          <w:rFonts w:ascii="Times New Roman" w:hAnsi="Times New Roman"/>
        </w:rPr>
        <w:t>N</w:t>
      </w:r>
      <w:r w:rsidRPr="00C71E80">
        <w:rPr>
          <w:rFonts w:ascii="Times New Roman" w:hAnsi="Times New Roman"/>
        </w:rPr>
        <w:t xml:space="preserve">eonatal and </w:t>
      </w:r>
      <w:r w:rsidR="00340320">
        <w:rPr>
          <w:rFonts w:ascii="Times New Roman" w:hAnsi="Times New Roman"/>
        </w:rPr>
        <w:t>A</w:t>
      </w:r>
      <w:r w:rsidRPr="00C71E80">
        <w:rPr>
          <w:rFonts w:ascii="Times New Roman" w:hAnsi="Times New Roman"/>
        </w:rPr>
        <w:t xml:space="preserve">dult </w:t>
      </w:r>
      <w:r w:rsidR="00340320">
        <w:rPr>
          <w:rFonts w:ascii="Times New Roman" w:hAnsi="Times New Roman"/>
        </w:rPr>
        <w:t>H</w:t>
      </w:r>
      <w:r w:rsidRPr="00C71E80">
        <w:rPr>
          <w:rFonts w:ascii="Times New Roman" w:hAnsi="Times New Roman"/>
        </w:rPr>
        <w:t xml:space="preserve">uman </w:t>
      </w:r>
      <w:r w:rsidR="00340320">
        <w:rPr>
          <w:rFonts w:ascii="Times New Roman" w:hAnsi="Times New Roman"/>
        </w:rPr>
        <w:t>B</w:t>
      </w:r>
      <w:r w:rsidRPr="00C71E80">
        <w:rPr>
          <w:rFonts w:ascii="Times New Roman" w:hAnsi="Times New Roman"/>
        </w:rPr>
        <w:t xml:space="preserve">rain. Neuroscience. 77(2):299–318. </w:t>
      </w:r>
    </w:p>
    <w:p w14:paraId="2ABAF7F8" w14:textId="1F19645C" w:rsidR="00263E2C" w:rsidRPr="00C71E80" w:rsidRDefault="00263E2C" w:rsidP="00263E2C">
      <w:pPr>
        <w:pStyle w:val="Bibliography"/>
        <w:rPr>
          <w:rFonts w:ascii="Times New Roman" w:hAnsi="Times New Roman"/>
        </w:rPr>
      </w:pPr>
      <w:r w:rsidRPr="00C71E80">
        <w:rPr>
          <w:rFonts w:ascii="Times New Roman" w:hAnsi="Times New Roman"/>
        </w:rPr>
        <w:t xml:space="preserve">Gouveia V, Davidson B, Meng Y, </w:t>
      </w:r>
      <w:proofErr w:type="spellStart"/>
      <w:r w:rsidRPr="00C71E80">
        <w:rPr>
          <w:rFonts w:ascii="Times New Roman" w:hAnsi="Times New Roman"/>
        </w:rPr>
        <w:t>Gidyk</w:t>
      </w:r>
      <w:proofErr w:type="spellEnd"/>
      <w:r w:rsidRPr="00C71E80">
        <w:rPr>
          <w:rFonts w:ascii="Times New Roman" w:hAnsi="Times New Roman"/>
        </w:rPr>
        <w:t xml:space="preserve"> C, Rabin S, Ng E, </w:t>
      </w:r>
      <w:proofErr w:type="spellStart"/>
      <w:r w:rsidRPr="00C71E80">
        <w:rPr>
          <w:rFonts w:ascii="Times New Roman" w:hAnsi="Times New Roman"/>
        </w:rPr>
        <w:t>Abrahao</w:t>
      </w:r>
      <w:proofErr w:type="spellEnd"/>
      <w:r w:rsidRPr="00C71E80">
        <w:rPr>
          <w:rFonts w:ascii="Times New Roman" w:hAnsi="Times New Roman"/>
        </w:rPr>
        <w:t xml:space="preserve"> A, </w:t>
      </w:r>
      <w:proofErr w:type="spellStart"/>
      <w:r w:rsidRPr="00C71E80">
        <w:rPr>
          <w:rFonts w:ascii="Times New Roman" w:hAnsi="Times New Roman"/>
        </w:rPr>
        <w:t>Lipsman</w:t>
      </w:r>
      <w:proofErr w:type="spellEnd"/>
      <w:r w:rsidRPr="00C71E80">
        <w:rPr>
          <w:rFonts w:ascii="Times New Roman" w:hAnsi="Times New Roman"/>
        </w:rPr>
        <w:t xml:space="preserve"> N, </w:t>
      </w:r>
      <w:proofErr w:type="spellStart"/>
      <w:r w:rsidRPr="00C71E80">
        <w:rPr>
          <w:rFonts w:ascii="Times New Roman" w:hAnsi="Times New Roman"/>
        </w:rPr>
        <w:t>Giacobbe</w:t>
      </w:r>
      <w:proofErr w:type="spellEnd"/>
      <w:r w:rsidRPr="00C71E80">
        <w:rPr>
          <w:rFonts w:ascii="Times New Roman" w:hAnsi="Times New Roman"/>
        </w:rPr>
        <w:t xml:space="preserve"> P, </w:t>
      </w:r>
      <w:proofErr w:type="spellStart"/>
      <w:r w:rsidRPr="00C71E80">
        <w:rPr>
          <w:rFonts w:ascii="Times New Roman" w:hAnsi="Times New Roman"/>
        </w:rPr>
        <w:t>Hamani</w:t>
      </w:r>
      <w:proofErr w:type="spellEnd"/>
      <w:r w:rsidRPr="00C71E80">
        <w:rPr>
          <w:rFonts w:ascii="Times New Roman" w:hAnsi="Times New Roman"/>
        </w:rPr>
        <w:t xml:space="preserve"> C. 2020 May 28. Treating Post-</w:t>
      </w:r>
      <w:r w:rsidR="00340320">
        <w:rPr>
          <w:rFonts w:ascii="Times New Roman" w:hAnsi="Times New Roman"/>
        </w:rPr>
        <w:t>T</w:t>
      </w:r>
      <w:r w:rsidRPr="00C71E80">
        <w:rPr>
          <w:rFonts w:ascii="Times New Roman" w:hAnsi="Times New Roman"/>
        </w:rPr>
        <w:t xml:space="preserve">raumatic Stress Disorder with Neuromodulation Therapies: Transcranial Magnetic Stimulation, Transcranial Direct Current Stimulation, and Deep Brain Stimulation. Neurotherapeutics. </w:t>
      </w:r>
    </w:p>
    <w:p w14:paraId="61C7B8C9" w14:textId="6B01DFE3" w:rsidR="00263E2C" w:rsidRPr="00C71E80" w:rsidRDefault="00263E2C" w:rsidP="00263E2C">
      <w:pPr>
        <w:pStyle w:val="Bibliography"/>
        <w:rPr>
          <w:rFonts w:ascii="Times New Roman" w:hAnsi="Times New Roman"/>
        </w:rPr>
      </w:pPr>
      <w:r w:rsidRPr="00C71E80">
        <w:rPr>
          <w:rFonts w:ascii="Times New Roman" w:hAnsi="Times New Roman"/>
        </w:rPr>
        <w:t xml:space="preserve">Hall S, Morey C, Beckham C, Bosworth B, Sloane R, Pieper F, </w:t>
      </w:r>
      <w:proofErr w:type="spellStart"/>
      <w:r w:rsidRPr="00C71E80">
        <w:rPr>
          <w:rFonts w:ascii="Times New Roman" w:hAnsi="Times New Roman"/>
        </w:rPr>
        <w:t>Pebole</w:t>
      </w:r>
      <w:proofErr w:type="spellEnd"/>
      <w:r w:rsidRPr="00C71E80">
        <w:rPr>
          <w:rFonts w:ascii="Times New Roman" w:hAnsi="Times New Roman"/>
        </w:rPr>
        <w:t xml:space="preserve"> M. 2020. Warrior Wellness: A Randomized Controlled Pilot Trial of the Effects of Exercise on Physical Function and Clinical Health Risk Factors in Older Military Veterans </w:t>
      </w:r>
      <w:r w:rsidR="004B1253">
        <w:rPr>
          <w:rFonts w:ascii="Times New Roman" w:hAnsi="Times New Roman"/>
        </w:rPr>
        <w:t>w</w:t>
      </w:r>
      <w:r w:rsidRPr="00C71E80">
        <w:rPr>
          <w:rFonts w:ascii="Times New Roman" w:hAnsi="Times New Roman"/>
        </w:rPr>
        <w:t xml:space="preserve">ith PTSD. Newman A, editor. J </w:t>
      </w:r>
      <w:proofErr w:type="spellStart"/>
      <w:r w:rsidRPr="00C71E80">
        <w:rPr>
          <w:rFonts w:ascii="Times New Roman" w:hAnsi="Times New Roman"/>
        </w:rPr>
        <w:t>Gerontol</w:t>
      </w:r>
      <w:proofErr w:type="spellEnd"/>
      <w:r w:rsidRPr="00C71E80">
        <w:rPr>
          <w:rFonts w:ascii="Times New Roman" w:hAnsi="Times New Roman"/>
        </w:rPr>
        <w:t xml:space="preserve"> Ser A. 75(11):2130–2138. </w:t>
      </w:r>
    </w:p>
    <w:p w14:paraId="4608F31A" w14:textId="4F54F03C" w:rsidR="00263E2C" w:rsidRDefault="00263E2C" w:rsidP="00263E2C">
      <w:pPr>
        <w:pStyle w:val="Bibliography"/>
        <w:rPr>
          <w:rFonts w:ascii="Times New Roman" w:hAnsi="Times New Roman"/>
        </w:rPr>
      </w:pPr>
      <w:r w:rsidRPr="00C71E80">
        <w:rPr>
          <w:rFonts w:ascii="Times New Roman" w:hAnsi="Times New Roman"/>
        </w:rPr>
        <w:t xml:space="preserve">Halverson T, </w:t>
      </w:r>
      <w:proofErr w:type="spellStart"/>
      <w:r w:rsidRPr="00C71E80">
        <w:rPr>
          <w:rFonts w:ascii="Times New Roman" w:hAnsi="Times New Roman"/>
        </w:rPr>
        <w:t>Alagiakrishnan</w:t>
      </w:r>
      <w:proofErr w:type="spellEnd"/>
      <w:r w:rsidRPr="00C71E80">
        <w:rPr>
          <w:rFonts w:ascii="Times New Roman" w:hAnsi="Times New Roman"/>
        </w:rPr>
        <w:t xml:space="preserve"> K. 2020. Gut </w:t>
      </w:r>
      <w:r w:rsidR="004B1253">
        <w:rPr>
          <w:rFonts w:ascii="Times New Roman" w:hAnsi="Times New Roman"/>
        </w:rPr>
        <w:t>M</w:t>
      </w:r>
      <w:r w:rsidRPr="00C71E80">
        <w:rPr>
          <w:rFonts w:ascii="Times New Roman" w:hAnsi="Times New Roman"/>
        </w:rPr>
        <w:t xml:space="preserve">icrobes in </w:t>
      </w:r>
      <w:r w:rsidR="004B1253">
        <w:rPr>
          <w:rFonts w:ascii="Times New Roman" w:hAnsi="Times New Roman"/>
        </w:rPr>
        <w:t>N</w:t>
      </w:r>
      <w:r w:rsidRPr="00C71E80">
        <w:rPr>
          <w:rFonts w:ascii="Times New Roman" w:hAnsi="Times New Roman"/>
        </w:rPr>
        <w:t xml:space="preserve">eurocognitive and </w:t>
      </w:r>
      <w:r w:rsidR="004B1253">
        <w:rPr>
          <w:rFonts w:ascii="Times New Roman" w:hAnsi="Times New Roman"/>
        </w:rPr>
        <w:t>M</w:t>
      </w:r>
      <w:r w:rsidRPr="00C71E80">
        <w:rPr>
          <w:rFonts w:ascii="Times New Roman" w:hAnsi="Times New Roman"/>
        </w:rPr>
        <w:t xml:space="preserve">ental </w:t>
      </w:r>
      <w:r w:rsidR="004B1253">
        <w:rPr>
          <w:rFonts w:ascii="Times New Roman" w:hAnsi="Times New Roman"/>
        </w:rPr>
        <w:t>H</w:t>
      </w:r>
      <w:r w:rsidRPr="00C71E80">
        <w:rPr>
          <w:rFonts w:ascii="Times New Roman" w:hAnsi="Times New Roman"/>
        </w:rPr>
        <w:t xml:space="preserve">ealth </w:t>
      </w:r>
      <w:r w:rsidR="004B1253">
        <w:rPr>
          <w:rFonts w:ascii="Times New Roman" w:hAnsi="Times New Roman"/>
        </w:rPr>
        <w:t>D</w:t>
      </w:r>
      <w:r w:rsidRPr="00C71E80">
        <w:rPr>
          <w:rFonts w:ascii="Times New Roman" w:hAnsi="Times New Roman"/>
        </w:rPr>
        <w:t xml:space="preserve">isorders. Ann Med. 52(8):423–443. </w:t>
      </w:r>
    </w:p>
    <w:p w14:paraId="1824AAB1" w14:textId="34A8BE78" w:rsidR="00E6390C" w:rsidRPr="00E6390C" w:rsidRDefault="00E6390C" w:rsidP="00E6390C">
      <w:proofErr w:type="spellStart"/>
      <w:r w:rsidRPr="00E6390C">
        <w:t>Hasadsri</w:t>
      </w:r>
      <w:proofErr w:type="spellEnd"/>
      <w:r w:rsidRPr="00E6390C">
        <w:t xml:space="preserve"> L, Wang H, Lee V, Erdman W, Llano A, </w:t>
      </w:r>
      <w:proofErr w:type="spellStart"/>
      <w:r w:rsidRPr="00E6390C">
        <w:t>Barbey</w:t>
      </w:r>
      <w:proofErr w:type="spellEnd"/>
      <w:r w:rsidRPr="00E6390C">
        <w:t xml:space="preserve"> K, </w:t>
      </w:r>
      <w:proofErr w:type="spellStart"/>
      <w:r w:rsidRPr="00E6390C">
        <w:t>Wszalek</w:t>
      </w:r>
      <w:proofErr w:type="spellEnd"/>
      <w:r w:rsidRPr="00E6390C">
        <w:t xml:space="preserve"> T, Sharrock F, Wang H. 2013. Omega-3 Fatty Acids as a Putative Treatment for Traumatic Brain Injury. Journal of Neurotrauma. 30(11):897–906. </w:t>
      </w:r>
    </w:p>
    <w:p w14:paraId="089104F1" w14:textId="77777777" w:rsidR="00E6390C" w:rsidRPr="00E6390C" w:rsidRDefault="00E6390C" w:rsidP="00E6390C"/>
    <w:p w14:paraId="6062FE7D" w14:textId="689F6E93" w:rsidR="00263E2C" w:rsidRPr="00C71E80" w:rsidRDefault="00263E2C" w:rsidP="00263E2C">
      <w:pPr>
        <w:pStyle w:val="Bibliography"/>
        <w:rPr>
          <w:rFonts w:ascii="Times New Roman" w:hAnsi="Times New Roman"/>
        </w:rPr>
      </w:pPr>
      <w:r w:rsidRPr="00C71E80">
        <w:rPr>
          <w:rFonts w:ascii="Times New Roman" w:hAnsi="Times New Roman"/>
        </w:rPr>
        <w:t xml:space="preserve">Hemmings J, Malan-Muller S, </w:t>
      </w:r>
      <w:r w:rsidR="00B20A4D">
        <w:rPr>
          <w:rFonts w:ascii="Times New Roman" w:hAnsi="Times New Roman"/>
        </w:rPr>
        <w:t>V</w:t>
      </w:r>
      <w:r w:rsidRPr="00C71E80">
        <w:rPr>
          <w:rFonts w:ascii="Times New Roman" w:hAnsi="Times New Roman"/>
        </w:rPr>
        <w:t>an</w:t>
      </w:r>
      <w:r w:rsidR="00B20A4D">
        <w:rPr>
          <w:rFonts w:ascii="Times New Roman" w:hAnsi="Times New Roman"/>
        </w:rPr>
        <w:t>-</w:t>
      </w:r>
      <w:r w:rsidRPr="00C71E80">
        <w:rPr>
          <w:rFonts w:ascii="Times New Roman" w:hAnsi="Times New Roman"/>
        </w:rPr>
        <w:t xml:space="preserve">den Heuvel LL, </w:t>
      </w:r>
      <w:proofErr w:type="spellStart"/>
      <w:r w:rsidRPr="00C71E80">
        <w:rPr>
          <w:rFonts w:ascii="Times New Roman" w:hAnsi="Times New Roman"/>
        </w:rPr>
        <w:t>Demmitt</w:t>
      </w:r>
      <w:proofErr w:type="spellEnd"/>
      <w:r w:rsidRPr="00C71E80">
        <w:rPr>
          <w:rFonts w:ascii="Times New Roman" w:hAnsi="Times New Roman"/>
        </w:rPr>
        <w:t xml:space="preserve"> A, </w:t>
      </w:r>
      <w:proofErr w:type="spellStart"/>
      <w:r w:rsidRPr="00C71E80">
        <w:rPr>
          <w:rFonts w:ascii="Times New Roman" w:hAnsi="Times New Roman"/>
        </w:rPr>
        <w:t>Stanislawski</w:t>
      </w:r>
      <w:proofErr w:type="spellEnd"/>
      <w:r w:rsidRPr="00C71E80">
        <w:rPr>
          <w:rFonts w:ascii="Times New Roman" w:hAnsi="Times New Roman"/>
        </w:rPr>
        <w:t xml:space="preserve"> A, Smith G, Bohr D, Stamper E, Hyde R, Morton T, et al. 2017. The Microbiome in Post</w:t>
      </w:r>
      <w:r w:rsidR="000C3B9B">
        <w:rPr>
          <w:rFonts w:ascii="Times New Roman" w:hAnsi="Times New Roman"/>
        </w:rPr>
        <w:t>-T</w:t>
      </w:r>
      <w:r w:rsidRPr="00C71E80">
        <w:rPr>
          <w:rFonts w:ascii="Times New Roman" w:hAnsi="Times New Roman"/>
        </w:rPr>
        <w:t xml:space="preserve">raumatic Stress Disorder and Trauma-Exposed Controls: An Exploratory Study. </w:t>
      </w:r>
      <w:proofErr w:type="spellStart"/>
      <w:r w:rsidRPr="00C71E80">
        <w:rPr>
          <w:rFonts w:ascii="Times New Roman" w:hAnsi="Times New Roman"/>
        </w:rPr>
        <w:t>Psychosom</w:t>
      </w:r>
      <w:proofErr w:type="spellEnd"/>
      <w:r w:rsidRPr="00C71E80">
        <w:rPr>
          <w:rFonts w:ascii="Times New Roman" w:hAnsi="Times New Roman"/>
        </w:rPr>
        <w:t xml:space="preserve"> Med. 79(8):936–946. </w:t>
      </w:r>
    </w:p>
    <w:p w14:paraId="50C9FDA4" w14:textId="4761FA9B" w:rsidR="00263E2C" w:rsidRPr="00C71E80" w:rsidRDefault="00263E2C" w:rsidP="00263E2C">
      <w:pPr>
        <w:pStyle w:val="Bibliography"/>
        <w:rPr>
          <w:rFonts w:ascii="Times New Roman" w:hAnsi="Times New Roman"/>
        </w:rPr>
      </w:pPr>
      <w:r w:rsidRPr="00C71E80">
        <w:rPr>
          <w:rFonts w:ascii="Times New Roman" w:hAnsi="Times New Roman"/>
        </w:rPr>
        <w:t xml:space="preserve">Henry P. Biological </w:t>
      </w:r>
      <w:r w:rsidR="000C3B9B">
        <w:rPr>
          <w:rFonts w:ascii="Times New Roman" w:hAnsi="Times New Roman"/>
        </w:rPr>
        <w:t>B</w:t>
      </w:r>
      <w:r w:rsidRPr="00C71E80">
        <w:rPr>
          <w:rFonts w:ascii="Times New Roman" w:hAnsi="Times New Roman"/>
        </w:rPr>
        <w:t xml:space="preserve">asis of the </w:t>
      </w:r>
      <w:r w:rsidR="000C3B9B">
        <w:rPr>
          <w:rFonts w:ascii="Times New Roman" w:hAnsi="Times New Roman"/>
        </w:rPr>
        <w:t>S</w:t>
      </w:r>
      <w:r w:rsidRPr="00C71E80">
        <w:rPr>
          <w:rFonts w:ascii="Times New Roman" w:hAnsi="Times New Roman"/>
        </w:rPr>
        <w:t xml:space="preserve">tress </w:t>
      </w:r>
      <w:r w:rsidR="000C3B9B">
        <w:rPr>
          <w:rFonts w:ascii="Times New Roman" w:hAnsi="Times New Roman"/>
        </w:rPr>
        <w:t>R</w:t>
      </w:r>
      <w:r w:rsidRPr="00C71E80">
        <w:rPr>
          <w:rFonts w:ascii="Times New Roman" w:hAnsi="Times New Roman"/>
        </w:rPr>
        <w:t>esponse. STRESS RESPONSE.:18.</w:t>
      </w:r>
    </w:p>
    <w:p w14:paraId="70145C8F" w14:textId="46670ECC" w:rsidR="00263E2C" w:rsidRDefault="00263E2C" w:rsidP="00263E2C">
      <w:pPr>
        <w:pStyle w:val="Bibliography"/>
        <w:rPr>
          <w:rFonts w:ascii="Times New Roman" w:hAnsi="Times New Roman"/>
        </w:rPr>
      </w:pPr>
      <w:r w:rsidRPr="00C71E80">
        <w:rPr>
          <w:rFonts w:ascii="Times New Roman" w:hAnsi="Times New Roman"/>
        </w:rPr>
        <w:t xml:space="preserve">Herman P, </w:t>
      </w:r>
      <w:proofErr w:type="spellStart"/>
      <w:r w:rsidRPr="00C71E80">
        <w:rPr>
          <w:rFonts w:ascii="Times New Roman" w:hAnsi="Times New Roman"/>
        </w:rPr>
        <w:t>McKlveen</w:t>
      </w:r>
      <w:proofErr w:type="spellEnd"/>
      <w:r w:rsidRPr="00C71E80">
        <w:rPr>
          <w:rFonts w:ascii="Times New Roman" w:hAnsi="Times New Roman"/>
        </w:rPr>
        <w:t xml:space="preserve"> M, Ghosal S, Kopp B, </w:t>
      </w:r>
      <w:proofErr w:type="spellStart"/>
      <w:r w:rsidRPr="00C71E80">
        <w:rPr>
          <w:rFonts w:ascii="Times New Roman" w:hAnsi="Times New Roman"/>
        </w:rPr>
        <w:t>Wulsin</w:t>
      </w:r>
      <w:proofErr w:type="spellEnd"/>
      <w:r w:rsidRPr="00C71E80">
        <w:rPr>
          <w:rFonts w:ascii="Times New Roman" w:hAnsi="Times New Roman"/>
        </w:rPr>
        <w:t xml:space="preserve"> A, </w:t>
      </w:r>
      <w:proofErr w:type="spellStart"/>
      <w:r w:rsidRPr="00C71E80">
        <w:rPr>
          <w:rFonts w:ascii="Times New Roman" w:hAnsi="Times New Roman"/>
        </w:rPr>
        <w:t>Makinson</w:t>
      </w:r>
      <w:proofErr w:type="spellEnd"/>
      <w:r w:rsidRPr="00C71E80">
        <w:rPr>
          <w:rFonts w:ascii="Times New Roman" w:hAnsi="Times New Roman"/>
        </w:rPr>
        <w:t xml:space="preserve"> R, </w:t>
      </w:r>
      <w:proofErr w:type="spellStart"/>
      <w:r w:rsidRPr="00C71E80">
        <w:rPr>
          <w:rFonts w:ascii="Times New Roman" w:hAnsi="Times New Roman"/>
        </w:rPr>
        <w:t>Scheimann</w:t>
      </w:r>
      <w:proofErr w:type="spellEnd"/>
      <w:r w:rsidRPr="00C71E80">
        <w:rPr>
          <w:rFonts w:ascii="Times New Roman" w:hAnsi="Times New Roman"/>
        </w:rPr>
        <w:t xml:space="preserve"> J, Myers B. 2016. Regulation of the Hypothalamic-Pituitary-Adrenocortical Stress Response. In: Comprehensive Physiology. American Cancer Society. p. 603–621. </w:t>
      </w:r>
    </w:p>
    <w:p w14:paraId="7AAF8CBC" w14:textId="48927B2F" w:rsidR="00DF74A9" w:rsidRPr="00DF74A9" w:rsidRDefault="00DF74A9" w:rsidP="00DF74A9">
      <w:r w:rsidRPr="00DF74A9">
        <w:t xml:space="preserve">Hoisington J, </w:t>
      </w:r>
      <w:proofErr w:type="spellStart"/>
      <w:r w:rsidRPr="00DF74A9">
        <w:t>Billera</w:t>
      </w:r>
      <w:proofErr w:type="spellEnd"/>
      <w:r w:rsidRPr="00DF74A9">
        <w:t xml:space="preserve"> M, Bates L et al. Exploring </w:t>
      </w:r>
      <w:r>
        <w:t>S</w:t>
      </w:r>
      <w:r w:rsidRPr="00DF74A9">
        <w:t xml:space="preserve">ervice </w:t>
      </w:r>
      <w:r>
        <w:t>D</w:t>
      </w:r>
      <w:r w:rsidRPr="00DF74A9">
        <w:t xml:space="preserve">ogs for </w:t>
      </w:r>
      <w:r>
        <w:t>R</w:t>
      </w:r>
      <w:r w:rsidRPr="00DF74A9">
        <w:t xml:space="preserve">ehabilitation of </w:t>
      </w:r>
      <w:r>
        <w:t>V</w:t>
      </w:r>
      <w:r w:rsidRPr="00DF74A9">
        <w:t xml:space="preserve">eterans with PTSD: A </w:t>
      </w:r>
      <w:r>
        <w:t>M</w:t>
      </w:r>
      <w:r w:rsidRPr="00DF74A9">
        <w:t xml:space="preserve">icrobiome </w:t>
      </w:r>
      <w:r>
        <w:t>P</w:t>
      </w:r>
      <w:r w:rsidRPr="00DF74A9">
        <w:t>erspective. Rehabil</w:t>
      </w:r>
      <w:r>
        <w:t>itation</w:t>
      </w:r>
      <w:r w:rsidRPr="00DF74A9">
        <w:t xml:space="preserve"> Psychol</w:t>
      </w:r>
      <w:r>
        <w:t>ogy</w:t>
      </w:r>
      <w:r w:rsidRPr="00DF74A9">
        <w:t xml:space="preserve"> 2018;63:575-587.</w:t>
      </w:r>
    </w:p>
    <w:p w14:paraId="777A8C12" w14:textId="77777777" w:rsidR="00DF74A9" w:rsidRPr="00DF74A9" w:rsidRDefault="00DF74A9" w:rsidP="00DF74A9"/>
    <w:p w14:paraId="582FCDF0" w14:textId="541C107B" w:rsidR="00263E2C" w:rsidRPr="00C71E80" w:rsidRDefault="00263E2C" w:rsidP="00263E2C">
      <w:pPr>
        <w:pStyle w:val="Bibliography"/>
        <w:rPr>
          <w:rFonts w:ascii="Times New Roman" w:hAnsi="Times New Roman"/>
        </w:rPr>
      </w:pPr>
      <w:r w:rsidRPr="00C71E80">
        <w:rPr>
          <w:rFonts w:ascii="Times New Roman" w:hAnsi="Times New Roman"/>
        </w:rPr>
        <w:t xml:space="preserve">Hilton L, Maher AR, </w:t>
      </w:r>
      <w:proofErr w:type="spellStart"/>
      <w:r w:rsidRPr="00C71E80">
        <w:rPr>
          <w:rFonts w:ascii="Times New Roman" w:hAnsi="Times New Roman"/>
        </w:rPr>
        <w:t>Colaiaco</w:t>
      </w:r>
      <w:proofErr w:type="spellEnd"/>
      <w:r w:rsidRPr="00C71E80">
        <w:rPr>
          <w:rFonts w:ascii="Times New Roman" w:hAnsi="Times New Roman"/>
        </w:rPr>
        <w:t xml:space="preserve"> B, </w:t>
      </w:r>
      <w:proofErr w:type="spellStart"/>
      <w:r w:rsidRPr="00C71E80">
        <w:rPr>
          <w:rFonts w:ascii="Times New Roman" w:hAnsi="Times New Roman"/>
        </w:rPr>
        <w:t>Apaydin</w:t>
      </w:r>
      <w:proofErr w:type="spellEnd"/>
      <w:r w:rsidRPr="00C71E80">
        <w:rPr>
          <w:rFonts w:ascii="Times New Roman" w:hAnsi="Times New Roman"/>
        </w:rPr>
        <w:t xml:space="preserve"> E, </w:t>
      </w:r>
      <w:proofErr w:type="spellStart"/>
      <w:r w:rsidRPr="00C71E80">
        <w:rPr>
          <w:rFonts w:ascii="Times New Roman" w:hAnsi="Times New Roman"/>
        </w:rPr>
        <w:t>Sorbero</w:t>
      </w:r>
      <w:proofErr w:type="spellEnd"/>
      <w:r w:rsidRPr="00C71E80">
        <w:rPr>
          <w:rFonts w:ascii="Times New Roman" w:hAnsi="Times New Roman"/>
        </w:rPr>
        <w:t xml:space="preserve"> E, Booth M, </w:t>
      </w:r>
      <w:proofErr w:type="spellStart"/>
      <w:r w:rsidRPr="00C71E80">
        <w:rPr>
          <w:rFonts w:ascii="Times New Roman" w:hAnsi="Times New Roman"/>
        </w:rPr>
        <w:t>Shanman</w:t>
      </w:r>
      <w:proofErr w:type="spellEnd"/>
      <w:r w:rsidRPr="00C71E80">
        <w:rPr>
          <w:rFonts w:ascii="Times New Roman" w:hAnsi="Times New Roman"/>
        </w:rPr>
        <w:t xml:space="preserve"> M, Hempel S. 2017. Meditation for </w:t>
      </w:r>
      <w:r w:rsidR="008C3E96">
        <w:rPr>
          <w:rFonts w:ascii="Times New Roman" w:hAnsi="Times New Roman"/>
        </w:rPr>
        <w:t>P</w:t>
      </w:r>
      <w:r w:rsidRPr="00C71E80">
        <w:rPr>
          <w:rFonts w:ascii="Times New Roman" w:hAnsi="Times New Roman"/>
        </w:rPr>
        <w:t>ost</w:t>
      </w:r>
      <w:r w:rsidR="008C3E96">
        <w:rPr>
          <w:rFonts w:ascii="Times New Roman" w:hAnsi="Times New Roman"/>
        </w:rPr>
        <w:t>-T</w:t>
      </w:r>
      <w:r w:rsidRPr="00C71E80">
        <w:rPr>
          <w:rFonts w:ascii="Times New Roman" w:hAnsi="Times New Roman"/>
        </w:rPr>
        <w:t xml:space="preserve">raumatic </w:t>
      </w:r>
      <w:r w:rsidR="008C3E96">
        <w:rPr>
          <w:rFonts w:ascii="Times New Roman" w:hAnsi="Times New Roman"/>
        </w:rPr>
        <w:t>S</w:t>
      </w:r>
      <w:r w:rsidRPr="00C71E80">
        <w:rPr>
          <w:rFonts w:ascii="Times New Roman" w:hAnsi="Times New Roman"/>
        </w:rPr>
        <w:t xml:space="preserve">tress: Systematic </w:t>
      </w:r>
      <w:r w:rsidR="008C3E96">
        <w:rPr>
          <w:rFonts w:ascii="Times New Roman" w:hAnsi="Times New Roman"/>
        </w:rPr>
        <w:t>R</w:t>
      </w:r>
      <w:r w:rsidRPr="00C71E80">
        <w:rPr>
          <w:rFonts w:ascii="Times New Roman" w:hAnsi="Times New Roman"/>
        </w:rPr>
        <w:t xml:space="preserve">eview and </w:t>
      </w:r>
      <w:r w:rsidR="008C3E96">
        <w:rPr>
          <w:rFonts w:ascii="Times New Roman" w:hAnsi="Times New Roman"/>
        </w:rPr>
        <w:t>M</w:t>
      </w:r>
      <w:r w:rsidRPr="00C71E80">
        <w:rPr>
          <w:rFonts w:ascii="Times New Roman" w:hAnsi="Times New Roman"/>
        </w:rPr>
        <w:t>eta-</w:t>
      </w:r>
      <w:r w:rsidR="008C3E96">
        <w:rPr>
          <w:rFonts w:ascii="Times New Roman" w:hAnsi="Times New Roman"/>
        </w:rPr>
        <w:t>A</w:t>
      </w:r>
      <w:r w:rsidRPr="00C71E80">
        <w:rPr>
          <w:rFonts w:ascii="Times New Roman" w:hAnsi="Times New Roman"/>
        </w:rPr>
        <w:t xml:space="preserve">nalysis. Psychol Trauma Theory Res </w:t>
      </w:r>
      <w:proofErr w:type="spellStart"/>
      <w:r w:rsidRPr="00C71E80">
        <w:rPr>
          <w:rFonts w:ascii="Times New Roman" w:hAnsi="Times New Roman"/>
        </w:rPr>
        <w:t>Pract</w:t>
      </w:r>
      <w:proofErr w:type="spellEnd"/>
      <w:r w:rsidRPr="00C71E80">
        <w:rPr>
          <w:rFonts w:ascii="Times New Roman" w:hAnsi="Times New Roman"/>
        </w:rPr>
        <w:t xml:space="preserve"> Policy. 9(4):453–460.</w:t>
      </w:r>
    </w:p>
    <w:p w14:paraId="3CFC50EC" w14:textId="5A87E211" w:rsidR="00263E2C" w:rsidRPr="00C71E80" w:rsidRDefault="00263E2C" w:rsidP="00263E2C">
      <w:pPr>
        <w:pStyle w:val="Bibliography"/>
        <w:rPr>
          <w:rFonts w:ascii="Times New Roman" w:hAnsi="Times New Roman"/>
        </w:rPr>
      </w:pPr>
      <w:r w:rsidRPr="00C71E80">
        <w:rPr>
          <w:rFonts w:ascii="Times New Roman" w:hAnsi="Times New Roman"/>
        </w:rPr>
        <w:t xml:space="preserve">Hou L, Qi Y, Sun H, Wang G, Li Q, Wang Y, Zhang Z, Du Z, Sun L. 2018. Applying </w:t>
      </w:r>
      <w:r w:rsidR="008C3E96">
        <w:rPr>
          <w:rFonts w:ascii="Times New Roman" w:hAnsi="Times New Roman"/>
        </w:rPr>
        <w:t>K</w:t>
      </w:r>
      <w:r w:rsidRPr="00C71E80">
        <w:rPr>
          <w:rFonts w:ascii="Times New Roman" w:hAnsi="Times New Roman"/>
        </w:rPr>
        <w:t xml:space="preserve">etamine to </w:t>
      </w:r>
      <w:r w:rsidR="008C3E96">
        <w:rPr>
          <w:rFonts w:ascii="Times New Roman" w:hAnsi="Times New Roman"/>
        </w:rPr>
        <w:t>A</w:t>
      </w:r>
      <w:r w:rsidRPr="00C71E80">
        <w:rPr>
          <w:rFonts w:ascii="Times New Roman" w:hAnsi="Times New Roman"/>
        </w:rPr>
        <w:t xml:space="preserve">lleviate the PTSD-like </w:t>
      </w:r>
      <w:r w:rsidR="008C3E96">
        <w:rPr>
          <w:rFonts w:ascii="Times New Roman" w:hAnsi="Times New Roman"/>
        </w:rPr>
        <w:t>E</w:t>
      </w:r>
      <w:r w:rsidRPr="00C71E80">
        <w:rPr>
          <w:rFonts w:ascii="Times New Roman" w:hAnsi="Times New Roman"/>
        </w:rPr>
        <w:t xml:space="preserve">ffects by </w:t>
      </w:r>
      <w:r w:rsidR="008C3E96">
        <w:rPr>
          <w:rFonts w:ascii="Times New Roman" w:hAnsi="Times New Roman"/>
        </w:rPr>
        <w:t>R</w:t>
      </w:r>
      <w:r w:rsidRPr="00C71E80">
        <w:rPr>
          <w:rFonts w:ascii="Times New Roman" w:hAnsi="Times New Roman"/>
        </w:rPr>
        <w:t xml:space="preserve">egulating the HCN1-related BDNF. Prog </w:t>
      </w:r>
      <w:proofErr w:type="spellStart"/>
      <w:r w:rsidRPr="00C71E80">
        <w:rPr>
          <w:rFonts w:ascii="Times New Roman" w:hAnsi="Times New Roman"/>
        </w:rPr>
        <w:t>Neuropsychopharmacol</w:t>
      </w:r>
      <w:proofErr w:type="spellEnd"/>
      <w:r w:rsidRPr="00C71E80">
        <w:rPr>
          <w:rFonts w:ascii="Times New Roman" w:hAnsi="Times New Roman"/>
        </w:rPr>
        <w:t xml:space="preserve"> Biol Psychiatry. 86:313–321. </w:t>
      </w:r>
    </w:p>
    <w:p w14:paraId="36B93451" w14:textId="53B11D3E" w:rsidR="00263E2C" w:rsidRPr="00C71E80" w:rsidRDefault="00263E2C" w:rsidP="00263E2C">
      <w:pPr>
        <w:pStyle w:val="Bibliography"/>
        <w:rPr>
          <w:rFonts w:ascii="Times New Roman" w:hAnsi="Times New Roman"/>
        </w:rPr>
      </w:pPr>
      <w:r w:rsidRPr="00C71E80">
        <w:rPr>
          <w:rFonts w:ascii="Times New Roman" w:hAnsi="Times New Roman"/>
        </w:rPr>
        <w:t xml:space="preserve">Isserles M, Shalev Y, Roth Y, Peri T, </w:t>
      </w:r>
      <w:proofErr w:type="spellStart"/>
      <w:r w:rsidRPr="00C71E80">
        <w:rPr>
          <w:rFonts w:ascii="Times New Roman" w:hAnsi="Times New Roman"/>
        </w:rPr>
        <w:t>Kutz</w:t>
      </w:r>
      <w:proofErr w:type="spellEnd"/>
      <w:r w:rsidRPr="00C71E80">
        <w:rPr>
          <w:rFonts w:ascii="Times New Roman" w:hAnsi="Times New Roman"/>
        </w:rPr>
        <w:t xml:space="preserve"> I, </w:t>
      </w:r>
      <w:proofErr w:type="spellStart"/>
      <w:r w:rsidRPr="00C71E80">
        <w:rPr>
          <w:rFonts w:ascii="Times New Roman" w:hAnsi="Times New Roman"/>
        </w:rPr>
        <w:t>Zlotnick</w:t>
      </w:r>
      <w:proofErr w:type="spellEnd"/>
      <w:r w:rsidRPr="00C71E80">
        <w:rPr>
          <w:rFonts w:ascii="Times New Roman" w:hAnsi="Times New Roman"/>
        </w:rPr>
        <w:t xml:space="preserve"> E, </w:t>
      </w:r>
      <w:proofErr w:type="spellStart"/>
      <w:r w:rsidRPr="00C71E80">
        <w:rPr>
          <w:rFonts w:ascii="Times New Roman" w:hAnsi="Times New Roman"/>
        </w:rPr>
        <w:t>Zangen</w:t>
      </w:r>
      <w:proofErr w:type="spellEnd"/>
      <w:r w:rsidRPr="00C71E80">
        <w:rPr>
          <w:rFonts w:ascii="Times New Roman" w:hAnsi="Times New Roman"/>
        </w:rPr>
        <w:t xml:space="preserve"> A. 2013. Effectiveness of Deep Transcranial Magnetic Stimulation Combined with a Brief Exposure Procedure in Post-Traumatic Stress Disorder – A Pilot Study. Brain </w:t>
      </w:r>
      <w:proofErr w:type="spellStart"/>
      <w:r w:rsidRPr="00C71E80">
        <w:rPr>
          <w:rFonts w:ascii="Times New Roman" w:hAnsi="Times New Roman"/>
        </w:rPr>
        <w:t>Stimulat</w:t>
      </w:r>
      <w:proofErr w:type="spellEnd"/>
      <w:r w:rsidRPr="00C71E80">
        <w:rPr>
          <w:rFonts w:ascii="Times New Roman" w:hAnsi="Times New Roman"/>
        </w:rPr>
        <w:t xml:space="preserve">. 6(3):377–383. </w:t>
      </w:r>
    </w:p>
    <w:p w14:paraId="7A18E54F" w14:textId="7D6CF01D" w:rsidR="00263E2C" w:rsidRPr="00C71E80" w:rsidRDefault="00263E2C" w:rsidP="00263E2C">
      <w:pPr>
        <w:pStyle w:val="Bibliography"/>
        <w:rPr>
          <w:rFonts w:ascii="Times New Roman" w:hAnsi="Times New Roman"/>
        </w:rPr>
      </w:pPr>
      <w:proofErr w:type="spellStart"/>
      <w:r w:rsidRPr="00C71E80">
        <w:rPr>
          <w:rFonts w:ascii="Times New Roman" w:hAnsi="Times New Roman"/>
        </w:rPr>
        <w:lastRenderedPageBreak/>
        <w:t>Kalinić</w:t>
      </w:r>
      <w:proofErr w:type="spellEnd"/>
      <w:r w:rsidRPr="00C71E80">
        <w:rPr>
          <w:rFonts w:ascii="Times New Roman" w:hAnsi="Times New Roman"/>
        </w:rPr>
        <w:t xml:space="preserve"> D, Mimica N, </w:t>
      </w:r>
      <w:proofErr w:type="spellStart"/>
      <w:r w:rsidRPr="00C71E80">
        <w:rPr>
          <w:rFonts w:ascii="Times New Roman" w:hAnsi="Times New Roman"/>
        </w:rPr>
        <w:t>Jeroncic</w:t>
      </w:r>
      <w:proofErr w:type="spellEnd"/>
      <w:r w:rsidRPr="00C71E80">
        <w:rPr>
          <w:rFonts w:ascii="Times New Roman" w:hAnsi="Times New Roman"/>
        </w:rPr>
        <w:t xml:space="preserve"> A, </w:t>
      </w:r>
      <w:proofErr w:type="spellStart"/>
      <w:r w:rsidRPr="00C71E80">
        <w:rPr>
          <w:rFonts w:ascii="Times New Roman" w:hAnsi="Times New Roman"/>
        </w:rPr>
        <w:t>Lalovac</w:t>
      </w:r>
      <w:proofErr w:type="spellEnd"/>
      <w:r w:rsidRPr="00C71E80">
        <w:rPr>
          <w:rFonts w:ascii="Times New Roman" w:hAnsi="Times New Roman"/>
        </w:rPr>
        <w:t xml:space="preserve"> M, </w:t>
      </w:r>
      <w:proofErr w:type="spellStart"/>
      <w:r w:rsidRPr="00C71E80">
        <w:rPr>
          <w:rFonts w:ascii="Times New Roman" w:hAnsi="Times New Roman"/>
        </w:rPr>
        <w:t>Delaš</w:t>
      </w:r>
      <w:proofErr w:type="spellEnd"/>
      <w:r w:rsidRPr="00C71E80">
        <w:rPr>
          <w:rFonts w:ascii="Times New Roman" w:hAnsi="Times New Roman"/>
        </w:rPr>
        <w:t xml:space="preserve"> I. 2016. Association of </w:t>
      </w:r>
      <w:r w:rsidR="002552B9">
        <w:rPr>
          <w:rFonts w:ascii="Times New Roman" w:hAnsi="Times New Roman"/>
        </w:rPr>
        <w:t>P</w:t>
      </w:r>
      <w:r w:rsidRPr="00C71E80">
        <w:rPr>
          <w:rFonts w:ascii="Times New Roman" w:hAnsi="Times New Roman"/>
        </w:rPr>
        <w:t>ro-</w:t>
      </w:r>
      <w:r w:rsidR="002552B9">
        <w:rPr>
          <w:rFonts w:ascii="Times New Roman" w:hAnsi="Times New Roman"/>
        </w:rPr>
        <w:t>I</w:t>
      </w:r>
      <w:r w:rsidRPr="00C71E80">
        <w:rPr>
          <w:rFonts w:ascii="Times New Roman" w:hAnsi="Times New Roman"/>
        </w:rPr>
        <w:t xml:space="preserve">nflammatory </w:t>
      </w:r>
      <w:r w:rsidR="002552B9">
        <w:rPr>
          <w:rFonts w:ascii="Times New Roman" w:hAnsi="Times New Roman"/>
        </w:rPr>
        <w:t>C</w:t>
      </w:r>
      <w:r w:rsidRPr="00C71E80">
        <w:rPr>
          <w:rFonts w:ascii="Times New Roman" w:hAnsi="Times New Roman"/>
        </w:rPr>
        <w:t>ytokines with PTS</w:t>
      </w:r>
      <w:r w:rsidR="002552B9">
        <w:rPr>
          <w:rFonts w:ascii="Times New Roman" w:hAnsi="Times New Roman"/>
        </w:rPr>
        <w:t>D</w:t>
      </w:r>
      <w:r w:rsidRPr="00C71E80">
        <w:rPr>
          <w:rFonts w:ascii="Times New Roman" w:hAnsi="Times New Roman"/>
        </w:rPr>
        <w:t xml:space="preserve"> </w:t>
      </w:r>
      <w:r w:rsidR="002552B9">
        <w:rPr>
          <w:rFonts w:ascii="Times New Roman" w:hAnsi="Times New Roman"/>
        </w:rPr>
        <w:t>S</w:t>
      </w:r>
      <w:r w:rsidRPr="00C71E80">
        <w:rPr>
          <w:rFonts w:ascii="Times New Roman" w:hAnsi="Times New Roman"/>
        </w:rPr>
        <w:t xml:space="preserve">everity in </w:t>
      </w:r>
      <w:r w:rsidR="002552B9">
        <w:rPr>
          <w:rFonts w:ascii="Times New Roman" w:hAnsi="Times New Roman"/>
        </w:rPr>
        <w:t>P</w:t>
      </w:r>
      <w:r w:rsidRPr="00C71E80">
        <w:rPr>
          <w:rFonts w:ascii="Times New Roman" w:hAnsi="Times New Roman"/>
        </w:rPr>
        <w:t xml:space="preserve">atients </w:t>
      </w:r>
      <w:r w:rsidR="002552B9">
        <w:rPr>
          <w:rFonts w:ascii="Times New Roman" w:hAnsi="Times New Roman"/>
        </w:rPr>
        <w:t>T</w:t>
      </w:r>
      <w:r w:rsidRPr="00C71E80">
        <w:rPr>
          <w:rFonts w:ascii="Times New Roman" w:hAnsi="Times New Roman"/>
        </w:rPr>
        <w:t xml:space="preserve">reated with </w:t>
      </w:r>
      <w:r w:rsidR="002552B9">
        <w:rPr>
          <w:rFonts w:ascii="Times New Roman" w:hAnsi="Times New Roman"/>
        </w:rPr>
        <w:t>O</w:t>
      </w:r>
      <w:r w:rsidRPr="00C71E80">
        <w:rPr>
          <w:rFonts w:ascii="Times New Roman" w:hAnsi="Times New Roman"/>
        </w:rPr>
        <w:t xml:space="preserve">mega-3 </w:t>
      </w:r>
      <w:r w:rsidR="002552B9">
        <w:rPr>
          <w:rFonts w:ascii="Times New Roman" w:hAnsi="Times New Roman"/>
        </w:rPr>
        <w:t>S</w:t>
      </w:r>
      <w:r w:rsidRPr="00C71E80">
        <w:rPr>
          <w:rFonts w:ascii="Times New Roman" w:hAnsi="Times New Roman"/>
        </w:rPr>
        <w:t xml:space="preserve">upplementation – a </w:t>
      </w:r>
      <w:r w:rsidR="002552B9">
        <w:rPr>
          <w:rFonts w:ascii="Times New Roman" w:hAnsi="Times New Roman"/>
        </w:rPr>
        <w:t>P</w:t>
      </w:r>
      <w:r w:rsidRPr="00C71E80">
        <w:rPr>
          <w:rFonts w:ascii="Times New Roman" w:hAnsi="Times New Roman"/>
        </w:rPr>
        <w:t xml:space="preserve">ilot </w:t>
      </w:r>
      <w:r w:rsidR="002552B9">
        <w:rPr>
          <w:rFonts w:ascii="Times New Roman" w:hAnsi="Times New Roman"/>
        </w:rPr>
        <w:t>St</w:t>
      </w:r>
      <w:r w:rsidRPr="00C71E80">
        <w:rPr>
          <w:rFonts w:ascii="Times New Roman" w:hAnsi="Times New Roman"/>
        </w:rPr>
        <w:t xml:space="preserve">udy. Eur Psychiatry. 33(S1):S214–S214. </w:t>
      </w:r>
    </w:p>
    <w:p w14:paraId="2821F865" w14:textId="14893845" w:rsidR="00263E2C" w:rsidRPr="00C71E80" w:rsidRDefault="00263E2C" w:rsidP="00263E2C">
      <w:pPr>
        <w:pStyle w:val="Bibliography"/>
        <w:rPr>
          <w:rFonts w:ascii="Times New Roman" w:hAnsi="Times New Roman"/>
        </w:rPr>
      </w:pPr>
      <w:r w:rsidRPr="00C71E80">
        <w:rPr>
          <w:rFonts w:ascii="Times New Roman" w:hAnsi="Times New Roman"/>
        </w:rPr>
        <w:t>Kano M, Ohno-</w:t>
      </w:r>
      <w:proofErr w:type="spellStart"/>
      <w:r w:rsidRPr="00C71E80">
        <w:rPr>
          <w:rFonts w:ascii="Times New Roman" w:hAnsi="Times New Roman"/>
        </w:rPr>
        <w:t>Shosaku</w:t>
      </w:r>
      <w:proofErr w:type="spellEnd"/>
      <w:r w:rsidRPr="00C71E80">
        <w:rPr>
          <w:rFonts w:ascii="Times New Roman" w:hAnsi="Times New Roman"/>
        </w:rPr>
        <w:t xml:space="preserve"> T, </w:t>
      </w:r>
      <w:proofErr w:type="spellStart"/>
      <w:r w:rsidRPr="00C71E80">
        <w:rPr>
          <w:rFonts w:ascii="Times New Roman" w:hAnsi="Times New Roman"/>
        </w:rPr>
        <w:t>Hashimotodani</w:t>
      </w:r>
      <w:proofErr w:type="spellEnd"/>
      <w:r w:rsidRPr="00C71E80">
        <w:rPr>
          <w:rFonts w:ascii="Times New Roman" w:hAnsi="Times New Roman"/>
        </w:rPr>
        <w:t xml:space="preserve"> Y, </w:t>
      </w:r>
      <w:proofErr w:type="spellStart"/>
      <w:r w:rsidRPr="00C71E80">
        <w:rPr>
          <w:rFonts w:ascii="Times New Roman" w:hAnsi="Times New Roman"/>
        </w:rPr>
        <w:t>Uchigashima</w:t>
      </w:r>
      <w:proofErr w:type="spellEnd"/>
      <w:r w:rsidRPr="00C71E80">
        <w:rPr>
          <w:rFonts w:ascii="Times New Roman" w:hAnsi="Times New Roman"/>
        </w:rPr>
        <w:t xml:space="preserve"> M, Watanabe M. 2009. Endocannabinoid-Mediated Control of Synaptic Transmission. </w:t>
      </w:r>
      <w:proofErr w:type="spellStart"/>
      <w:r w:rsidRPr="00C71E80">
        <w:rPr>
          <w:rFonts w:ascii="Times New Roman" w:hAnsi="Times New Roman"/>
        </w:rPr>
        <w:t>Physiol</w:t>
      </w:r>
      <w:proofErr w:type="spellEnd"/>
      <w:r w:rsidRPr="00C71E80">
        <w:rPr>
          <w:rFonts w:ascii="Times New Roman" w:hAnsi="Times New Roman"/>
        </w:rPr>
        <w:t xml:space="preserve"> Rev. 89(1):309–380. </w:t>
      </w:r>
    </w:p>
    <w:p w14:paraId="3A42F55C" w14:textId="220522FE" w:rsidR="00263E2C" w:rsidRPr="00C71E80" w:rsidRDefault="00263E2C" w:rsidP="00263E2C">
      <w:pPr>
        <w:pStyle w:val="Bibliography"/>
        <w:rPr>
          <w:rFonts w:ascii="Times New Roman" w:hAnsi="Times New Roman"/>
        </w:rPr>
      </w:pPr>
      <w:r w:rsidRPr="00C71E80">
        <w:rPr>
          <w:rFonts w:ascii="Times New Roman" w:hAnsi="Times New Roman"/>
        </w:rPr>
        <w:t xml:space="preserve">Kelmendi B, Adams G, Yarnell S, Southwick S, Abdallah G, Krystal H. 2016. PTSD: </w:t>
      </w:r>
      <w:r w:rsidR="00F149D7">
        <w:rPr>
          <w:rFonts w:ascii="Times New Roman" w:hAnsi="Times New Roman"/>
        </w:rPr>
        <w:t>Fr</w:t>
      </w:r>
      <w:r w:rsidRPr="00C71E80">
        <w:rPr>
          <w:rFonts w:ascii="Times New Roman" w:hAnsi="Times New Roman"/>
        </w:rPr>
        <w:t xml:space="preserve">om </w:t>
      </w:r>
      <w:r w:rsidR="00F149D7">
        <w:rPr>
          <w:rFonts w:ascii="Times New Roman" w:hAnsi="Times New Roman"/>
        </w:rPr>
        <w:t>N</w:t>
      </w:r>
      <w:r w:rsidRPr="00C71E80">
        <w:rPr>
          <w:rFonts w:ascii="Times New Roman" w:hAnsi="Times New Roman"/>
        </w:rPr>
        <w:t xml:space="preserve">eurobiology to </w:t>
      </w:r>
      <w:r w:rsidR="00F149D7">
        <w:rPr>
          <w:rFonts w:ascii="Times New Roman" w:hAnsi="Times New Roman"/>
        </w:rPr>
        <w:t>P</w:t>
      </w:r>
      <w:r w:rsidRPr="00C71E80">
        <w:rPr>
          <w:rFonts w:ascii="Times New Roman" w:hAnsi="Times New Roman"/>
        </w:rPr>
        <w:t xml:space="preserve">harmacological </w:t>
      </w:r>
      <w:r w:rsidR="00F149D7">
        <w:rPr>
          <w:rFonts w:ascii="Times New Roman" w:hAnsi="Times New Roman"/>
        </w:rPr>
        <w:t>T</w:t>
      </w:r>
      <w:r w:rsidRPr="00C71E80">
        <w:rPr>
          <w:rFonts w:ascii="Times New Roman" w:hAnsi="Times New Roman"/>
        </w:rPr>
        <w:t xml:space="preserve">reatments. Eur J </w:t>
      </w:r>
      <w:proofErr w:type="spellStart"/>
      <w:r w:rsidRPr="00C71E80">
        <w:rPr>
          <w:rFonts w:ascii="Times New Roman" w:hAnsi="Times New Roman"/>
        </w:rPr>
        <w:t>Psychotraumatology</w:t>
      </w:r>
      <w:proofErr w:type="spellEnd"/>
      <w:r w:rsidRPr="00C71E80">
        <w:rPr>
          <w:rFonts w:ascii="Times New Roman" w:hAnsi="Times New Roman"/>
        </w:rPr>
        <w:t xml:space="preserve">. 7. </w:t>
      </w:r>
    </w:p>
    <w:p w14:paraId="35CBACE1" w14:textId="49970CE4" w:rsidR="00263E2C" w:rsidRPr="00C71E80" w:rsidRDefault="00263E2C" w:rsidP="00263E2C">
      <w:pPr>
        <w:pStyle w:val="Bibliography"/>
        <w:rPr>
          <w:rFonts w:ascii="Times New Roman" w:hAnsi="Times New Roman"/>
        </w:rPr>
      </w:pPr>
      <w:proofErr w:type="spellStart"/>
      <w:r w:rsidRPr="00C71E80">
        <w:rPr>
          <w:rFonts w:ascii="Times New Roman" w:hAnsi="Times New Roman"/>
        </w:rPr>
        <w:t>Klengel</w:t>
      </w:r>
      <w:proofErr w:type="spellEnd"/>
      <w:r w:rsidRPr="00C71E80">
        <w:rPr>
          <w:rFonts w:ascii="Times New Roman" w:hAnsi="Times New Roman"/>
        </w:rPr>
        <w:t xml:space="preserve"> T, Mehta D, </w:t>
      </w:r>
      <w:proofErr w:type="spellStart"/>
      <w:r w:rsidRPr="00C71E80">
        <w:rPr>
          <w:rFonts w:ascii="Times New Roman" w:hAnsi="Times New Roman"/>
        </w:rPr>
        <w:t>Anacker</w:t>
      </w:r>
      <w:proofErr w:type="spellEnd"/>
      <w:r w:rsidRPr="00C71E80">
        <w:rPr>
          <w:rFonts w:ascii="Times New Roman" w:hAnsi="Times New Roman"/>
        </w:rPr>
        <w:t xml:space="preserve"> C, Rex-Haffner M, </w:t>
      </w:r>
      <w:proofErr w:type="spellStart"/>
      <w:r w:rsidRPr="00C71E80">
        <w:rPr>
          <w:rFonts w:ascii="Times New Roman" w:hAnsi="Times New Roman"/>
        </w:rPr>
        <w:t>Pruessner</w:t>
      </w:r>
      <w:proofErr w:type="spellEnd"/>
      <w:r w:rsidRPr="00C71E80">
        <w:rPr>
          <w:rFonts w:ascii="Times New Roman" w:hAnsi="Times New Roman"/>
        </w:rPr>
        <w:t xml:space="preserve"> JC, </w:t>
      </w:r>
      <w:proofErr w:type="spellStart"/>
      <w:r w:rsidRPr="00C71E80">
        <w:rPr>
          <w:rFonts w:ascii="Times New Roman" w:hAnsi="Times New Roman"/>
        </w:rPr>
        <w:t>Pariante</w:t>
      </w:r>
      <w:proofErr w:type="spellEnd"/>
      <w:r w:rsidRPr="00C71E80">
        <w:rPr>
          <w:rFonts w:ascii="Times New Roman" w:hAnsi="Times New Roman"/>
        </w:rPr>
        <w:t xml:space="preserve"> M, Pace W, Mercer B, </w:t>
      </w:r>
      <w:proofErr w:type="spellStart"/>
      <w:r w:rsidRPr="00C71E80">
        <w:rPr>
          <w:rFonts w:ascii="Times New Roman" w:hAnsi="Times New Roman"/>
        </w:rPr>
        <w:t>Mayberg</w:t>
      </w:r>
      <w:proofErr w:type="spellEnd"/>
      <w:r w:rsidRPr="00C71E80">
        <w:rPr>
          <w:rFonts w:ascii="Times New Roman" w:hAnsi="Times New Roman"/>
        </w:rPr>
        <w:t xml:space="preserve"> S, Bradley B, et al. 2013. Allele-</w:t>
      </w:r>
      <w:r w:rsidR="00F149D7">
        <w:rPr>
          <w:rFonts w:ascii="Times New Roman" w:hAnsi="Times New Roman"/>
        </w:rPr>
        <w:t>S</w:t>
      </w:r>
      <w:r w:rsidRPr="00C71E80">
        <w:rPr>
          <w:rFonts w:ascii="Times New Roman" w:hAnsi="Times New Roman"/>
        </w:rPr>
        <w:t xml:space="preserve">pecific FKBP5 DNA </w:t>
      </w:r>
      <w:r w:rsidR="00F149D7">
        <w:rPr>
          <w:rFonts w:ascii="Times New Roman" w:hAnsi="Times New Roman"/>
        </w:rPr>
        <w:t>D</w:t>
      </w:r>
      <w:r w:rsidRPr="00C71E80">
        <w:rPr>
          <w:rFonts w:ascii="Times New Roman" w:hAnsi="Times New Roman"/>
        </w:rPr>
        <w:t xml:space="preserve">emethylation </w:t>
      </w:r>
      <w:r w:rsidR="00F149D7">
        <w:rPr>
          <w:rFonts w:ascii="Times New Roman" w:hAnsi="Times New Roman"/>
        </w:rPr>
        <w:t>M</w:t>
      </w:r>
      <w:r w:rsidRPr="00C71E80">
        <w:rPr>
          <w:rFonts w:ascii="Times New Roman" w:hAnsi="Times New Roman"/>
        </w:rPr>
        <w:t xml:space="preserve">ediates </w:t>
      </w:r>
      <w:r w:rsidR="00F149D7">
        <w:rPr>
          <w:rFonts w:ascii="Times New Roman" w:hAnsi="Times New Roman"/>
        </w:rPr>
        <w:t>G</w:t>
      </w:r>
      <w:r w:rsidRPr="00C71E80">
        <w:rPr>
          <w:rFonts w:ascii="Times New Roman" w:hAnsi="Times New Roman"/>
        </w:rPr>
        <w:t>ene–</w:t>
      </w:r>
      <w:r w:rsidR="00F149D7">
        <w:rPr>
          <w:rFonts w:ascii="Times New Roman" w:hAnsi="Times New Roman"/>
        </w:rPr>
        <w:t>C</w:t>
      </w:r>
      <w:r w:rsidRPr="00C71E80">
        <w:rPr>
          <w:rFonts w:ascii="Times New Roman" w:hAnsi="Times New Roman"/>
        </w:rPr>
        <w:t xml:space="preserve">hildhood </w:t>
      </w:r>
      <w:r w:rsidR="00F149D7">
        <w:rPr>
          <w:rFonts w:ascii="Times New Roman" w:hAnsi="Times New Roman"/>
        </w:rPr>
        <w:t>T</w:t>
      </w:r>
      <w:r w:rsidRPr="00C71E80">
        <w:rPr>
          <w:rFonts w:ascii="Times New Roman" w:hAnsi="Times New Roman"/>
        </w:rPr>
        <w:t xml:space="preserve">rauma </w:t>
      </w:r>
      <w:r w:rsidR="00F149D7">
        <w:rPr>
          <w:rFonts w:ascii="Times New Roman" w:hAnsi="Times New Roman"/>
        </w:rPr>
        <w:t>I</w:t>
      </w:r>
      <w:r w:rsidRPr="00C71E80">
        <w:rPr>
          <w:rFonts w:ascii="Times New Roman" w:hAnsi="Times New Roman"/>
        </w:rPr>
        <w:t xml:space="preserve">nteractions. Nat </w:t>
      </w:r>
      <w:proofErr w:type="spellStart"/>
      <w:r w:rsidRPr="00C71E80">
        <w:rPr>
          <w:rFonts w:ascii="Times New Roman" w:hAnsi="Times New Roman"/>
        </w:rPr>
        <w:t>Neurosci</w:t>
      </w:r>
      <w:proofErr w:type="spellEnd"/>
      <w:r w:rsidRPr="00C71E80">
        <w:rPr>
          <w:rFonts w:ascii="Times New Roman" w:hAnsi="Times New Roman"/>
        </w:rPr>
        <w:t xml:space="preserve">. 16(1):33–41. </w:t>
      </w:r>
    </w:p>
    <w:p w14:paraId="61B40123" w14:textId="788FC201" w:rsidR="00263E2C" w:rsidRPr="00C71E80" w:rsidRDefault="00263E2C" w:rsidP="00263E2C">
      <w:pPr>
        <w:pStyle w:val="Bibliography"/>
        <w:rPr>
          <w:rFonts w:ascii="Times New Roman" w:hAnsi="Times New Roman"/>
        </w:rPr>
      </w:pPr>
      <w:proofErr w:type="spellStart"/>
      <w:r w:rsidRPr="00C71E80">
        <w:rPr>
          <w:rFonts w:ascii="Times New Roman" w:hAnsi="Times New Roman"/>
        </w:rPr>
        <w:t>Koenen</w:t>
      </w:r>
      <w:proofErr w:type="spellEnd"/>
      <w:r w:rsidRPr="00C71E80">
        <w:rPr>
          <w:rFonts w:ascii="Times New Roman" w:hAnsi="Times New Roman"/>
        </w:rPr>
        <w:t xml:space="preserve"> C, </w:t>
      </w:r>
      <w:proofErr w:type="spellStart"/>
      <w:r w:rsidRPr="00C71E80">
        <w:rPr>
          <w:rFonts w:ascii="Times New Roman" w:hAnsi="Times New Roman"/>
        </w:rPr>
        <w:t>Ratanatharathorn</w:t>
      </w:r>
      <w:proofErr w:type="spellEnd"/>
      <w:r w:rsidRPr="00C71E80">
        <w:rPr>
          <w:rFonts w:ascii="Times New Roman" w:hAnsi="Times New Roman"/>
        </w:rPr>
        <w:t xml:space="preserve"> A, Ng L, McLaughlin A, </w:t>
      </w:r>
      <w:proofErr w:type="spellStart"/>
      <w:r w:rsidRPr="00C71E80">
        <w:rPr>
          <w:rFonts w:ascii="Times New Roman" w:hAnsi="Times New Roman"/>
        </w:rPr>
        <w:t>Bromet</w:t>
      </w:r>
      <w:proofErr w:type="spellEnd"/>
      <w:r w:rsidRPr="00C71E80">
        <w:rPr>
          <w:rFonts w:ascii="Times New Roman" w:hAnsi="Times New Roman"/>
        </w:rPr>
        <w:t xml:space="preserve"> J, Stein J, Karam G, </w:t>
      </w:r>
      <w:proofErr w:type="spellStart"/>
      <w:r w:rsidRPr="00C71E80">
        <w:rPr>
          <w:rFonts w:ascii="Times New Roman" w:hAnsi="Times New Roman"/>
        </w:rPr>
        <w:t>Meron</w:t>
      </w:r>
      <w:proofErr w:type="spellEnd"/>
      <w:r w:rsidRPr="00C71E80">
        <w:rPr>
          <w:rFonts w:ascii="Times New Roman" w:hAnsi="Times New Roman"/>
        </w:rPr>
        <w:t xml:space="preserve"> </w:t>
      </w:r>
      <w:proofErr w:type="spellStart"/>
      <w:r w:rsidRPr="00C71E80">
        <w:rPr>
          <w:rFonts w:ascii="Times New Roman" w:hAnsi="Times New Roman"/>
        </w:rPr>
        <w:t>Ruscio</w:t>
      </w:r>
      <w:proofErr w:type="spellEnd"/>
      <w:r w:rsidRPr="00C71E80">
        <w:rPr>
          <w:rFonts w:ascii="Times New Roman" w:hAnsi="Times New Roman"/>
        </w:rPr>
        <w:t xml:space="preserve"> A, </w:t>
      </w:r>
      <w:proofErr w:type="spellStart"/>
      <w:r w:rsidRPr="00C71E80">
        <w:rPr>
          <w:rFonts w:ascii="Times New Roman" w:hAnsi="Times New Roman"/>
        </w:rPr>
        <w:t>Benjet</w:t>
      </w:r>
      <w:proofErr w:type="spellEnd"/>
      <w:r w:rsidRPr="00C71E80">
        <w:rPr>
          <w:rFonts w:ascii="Times New Roman" w:hAnsi="Times New Roman"/>
        </w:rPr>
        <w:t xml:space="preserve"> C, Scott K, et al. 2017. Post</w:t>
      </w:r>
      <w:r w:rsidR="00F149D7">
        <w:rPr>
          <w:rFonts w:ascii="Times New Roman" w:hAnsi="Times New Roman"/>
        </w:rPr>
        <w:t>-T</w:t>
      </w:r>
      <w:r w:rsidRPr="00C71E80">
        <w:rPr>
          <w:rFonts w:ascii="Times New Roman" w:hAnsi="Times New Roman"/>
        </w:rPr>
        <w:t xml:space="preserve">raumatic </w:t>
      </w:r>
      <w:r w:rsidR="00F149D7">
        <w:rPr>
          <w:rFonts w:ascii="Times New Roman" w:hAnsi="Times New Roman"/>
        </w:rPr>
        <w:t>S</w:t>
      </w:r>
      <w:r w:rsidRPr="00C71E80">
        <w:rPr>
          <w:rFonts w:ascii="Times New Roman" w:hAnsi="Times New Roman"/>
        </w:rPr>
        <w:t xml:space="preserve">tress </w:t>
      </w:r>
      <w:r w:rsidR="00F149D7">
        <w:rPr>
          <w:rFonts w:ascii="Times New Roman" w:hAnsi="Times New Roman"/>
        </w:rPr>
        <w:t>D</w:t>
      </w:r>
      <w:r w:rsidRPr="00C71E80">
        <w:rPr>
          <w:rFonts w:ascii="Times New Roman" w:hAnsi="Times New Roman"/>
        </w:rPr>
        <w:t xml:space="preserve">isorder in the World Mental Health Surveys. Psychol Med. 47(13):2260–2274. </w:t>
      </w:r>
    </w:p>
    <w:p w14:paraId="519C8DE8" w14:textId="3E12A776" w:rsidR="00263E2C" w:rsidRPr="00C71E80" w:rsidRDefault="00263E2C" w:rsidP="00263E2C">
      <w:pPr>
        <w:pStyle w:val="Bibliography"/>
        <w:rPr>
          <w:rFonts w:ascii="Times New Roman" w:hAnsi="Times New Roman"/>
        </w:rPr>
      </w:pPr>
      <w:r w:rsidRPr="00C71E80">
        <w:rPr>
          <w:rFonts w:ascii="Times New Roman" w:hAnsi="Times New Roman"/>
        </w:rPr>
        <w:t xml:space="preserve">Kos T, </w:t>
      </w:r>
      <w:proofErr w:type="spellStart"/>
      <w:r w:rsidRPr="00C71E80">
        <w:rPr>
          <w:rFonts w:ascii="Times New Roman" w:hAnsi="Times New Roman"/>
        </w:rPr>
        <w:t>Popik</w:t>
      </w:r>
      <w:proofErr w:type="spellEnd"/>
      <w:r w:rsidRPr="00C71E80">
        <w:rPr>
          <w:rFonts w:ascii="Times New Roman" w:hAnsi="Times New Roman"/>
        </w:rPr>
        <w:t xml:space="preserve"> P, </w:t>
      </w:r>
      <w:proofErr w:type="spellStart"/>
      <w:r w:rsidRPr="00C71E80">
        <w:rPr>
          <w:rFonts w:ascii="Times New Roman" w:hAnsi="Times New Roman"/>
        </w:rPr>
        <w:t>Pietraszek</w:t>
      </w:r>
      <w:proofErr w:type="spellEnd"/>
      <w:r w:rsidRPr="00C71E80">
        <w:rPr>
          <w:rFonts w:ascii="Times New Roman" w:hAnsi="Times New Roman"/>
        </w:rPr>
        <w:t xml:space="preserve"> M, Schäfer D, </w:t>
      </w:r>
      <w:proofErr w:type="spellStart"/>
      <w:r w:rsidRPr="00C71E80">
        <w:rPr>
          <w:rFonts w:ascii="Times New Roman" w:hAnsi="Times New Roman"/>
        </w:rPr>
        <w:t>Danysz</w:t>
      </w:r>
      <w:proofErr w:type="spellEnd"/>
      <w:r w:rsidRPr="00C71E80">
        <w:rPr>
          <w:rFonts w:ascii="Times New Roman" w:hAnsi="Times New Roman"/>
        </w:rPr>
        <w:t xml:space="preserve"> W, </w:t>
      </w:r>
      <w:proofErr w:type="spellStart"/>
      <w:r w:rsidRPr="00C71E80">
        <w:rPr>
          <w:rFonts w:ascii="Times New Roman" w:hAnsi="Times New Roman"/>
        </w:rPr>
        <w:t>Dravolina</w:t>
      </w:r>
      <w:proofErr w:type="spellEnd"/>
      <w:r w:rsidRPr="00C71E80">
        <w:rPr>
          <w:rFonts w:ascii="Times New Roman" w:hAnsi="Times New Roman"/>
        </w:rPr>
        <w:t xml:space="preserve"> O, </w:t>
      </w:r>
      <w:proofErr w:type="spellStart"/>
      <w:r w:rsidRPr="00C71E80">
        <w:rPr>
          <w:rFonts w:ascii="Times New Roman" w:hAnsi="Times New Roman"/>
        </w:rPr>
        <w:t>Blokhina</w:t>
      </w:r>
      <w:proofErr w:type="spellEnd"/>
      <w:r w:rsidRPr="00C71E80">
        <w:rPr>
          <w:rFonts w:ascii="Times New Roman" w:hAnsi="Times New Roman"/>
        </w:rPr>
        <w:t xml:space="preserve"> E, </w:t>
      </w:r>
      <w:proofErr w:type="spellStart"/>
      <w:r w:rsidRPr="00C71E80">
        <w:rPr>
          <w:rFonts w:ascii="Times New Roman" w:hAnsi="Times New Roman"/>
        </w:rPr>
        <w:t>Galankin</w:t>
      </w:r>
      <w:proofErr w:type="spellEnd"/>
      <w:r w:rsidRPr="00C71E80">
        <w:rPr>
          <w:rFonts w:ascii="Times New Roman" w:hAnsi="Times New Roman"/>
        </w:rPr>
        <w:t xml:space="preserve"> T, </w:t>
      </w:r>
      <w:proofErr w:type="spellStart"/>
      <w:r w:rsidRPr="00C71E80">
        <w:rPr>
          <w:rFonts w:ascii="Times New Roman" w:hAnsi="Times New Roman"/>
        </w:rPr>
        <w:t>Bespalov</w:t>
      </w:r>
      <w:proofErr w:type="spellEnd"/>
      <w:r w:rsidRPr="00C71E80">
        <w:rPr>
          <w:rFonts w:ascii="Times New Roman" w:hAnsi="Times New Roman"/>
        </w:rPr>
        <w:t xml:space="preserve"> Y. 2006. Effect of 5-HT3 </w:t>
      </w:r>
      <w:r w:rsidR="00F149D7">
        <w:rPr>
          <w:rFonts w:ascii="Times New Roman" w:hAnsi="Times New Roman"/>
        </w:rPr>
        <w:t>R</w:t>
      </w:r>
      <w:r w:rsidRPr="00C71E80">
        <w:rPr>
          <w:rFonts w:ascii="Times New Roman" w:hAnsi="Times New Roman"/>
        </w:rPr>
        <w:t xml:space="preserve">eceptor </w:t>
      </w:r>
      <w:r w:rsidR="00F149D7">
        <w:rPr>
          <w:rFonts w:ascii="Times New Roman" w:hAnsi="Times New Roman"/>
        </w:rPr>
        <w:t>A</w:t>
      </w:r>
      <w:r w:rsidRPr="00C71E80">
        <w:rPr>
          <w:rFonts w:ascii="Times New Roman" w:hAnsi="Times New Roman"/>
        </w:rPr>
        <w:t xml:space="preserve">ntagonist MDL 72222 on </w:t>
      </w:r>
      <w:r w:rsidR="00F149D7">
        <w:rPr>
          <w:rFonts w:ascii="Times New Roman" w:hAnsi="Times New Roman"/>
        </w:rPr>
        <w:t>B</w:t>
      </w:r>
      <w:r w:rsidRPr="00C71E80">
        <w:rPr>
          <w:rFonts w:ascii="Times New Roman" w:hAnsi="Times New Roman"/>
        </w:rPr>
        <w:t xml:space="preserve">ehaviors </w:t>
      </w:r>
      <w:r w:rsidR="00F149D7">
        <w:rPr>
          <w:rFonts w:ascii="Times New Roman" w:hAnsi="Times New Roman"/>
        </w:rPr>
        <w:t>I</w:t>
      </w:r>
      <w:r w:rsidRPr="00C71E80">
        <w:rPr>
          <w:rFonts w:ascii="Times New Roman" w:hAnsi="Times New Roman"/>
        </w:rPr>
        <w:t xml:space="preserve">nduced by </w:t>
      </w:r>
      <w:r w:rsidR="00F149D7">
        <w:rPr>
          <w:rFonts w:ascii="Times New Roman" w:hAnsi="Times New Roman"/>
        </w:rPr>
        <w:t>K</w:t>
      </w:r>
      <w:r w:rsidRPr="00C71E80">
        <w:rPr>
          <w:rFonts w:ascii="Times New Roman" w:hAnsi="Times New Roman"/>
        </w:rPr>
        <w:t xml:space="preserve">etamine in </w:t>
      </w:r>
      <w:r w:rsidR="00F149D7">
        <w:rPr>
          <w:rFonts w:ascii="Times New Roman" w:hAnsi="Times New Roman"/>
        </w:rPr>
        <w:t>R</w:t>
      </w:r>
      <w:r w:rsidRPr="00C71E80">
        <w:rPr>
          <w:rFonts w:ascii="Times New Roman" w:hAnsi="Times New Roman"/>
        </w:rPr>
        <w:t xml:space="preserve">ats and </w:t>
      </w:r>
      <w:r w:rsidR="00F149D7">
        <w:rPr>
          <w:rFonts w:ascii="Times New Roman" w:hAnsi="Times New Roman"/>
        </w:rPr>
        <w:t>M</w:t>
      </w:r>
      <w:r w:rsidRPr="00C71E80">
        <w:rPr>
          <w:rFonts w:ascii="Times New Roman" w:hAnsi="Times New Roman"/>
        </w:rPr>
        <w:t xml:space="preserve">ice. Eur </w:t>
      </w:r>
      <w:proofErr w:type="spellStart"/>
      <w:r w:rsidRPr="00C71E80">
        <w:rPr>
          <w:rFonts w:ascii="Times New Roman" w:hAnsi="Times New Roman"/>
        </w:rPr>
        <w:t>Neuropsychopharmacol</w:t>
      </w:r>
      <w:proofErr w:type="spellEnd"/>
      <w:r w:rsidRPr="00C71E80">
        <w:rPr>
          <w:rFonts w:ascii="Times New Roman" w:hAnsi="Times New Roman"/>
        </w:rPr>
        <w:t xml:space="preserve">. 16(4):297–310. </w:t>
      </w:r>
    </w:p>
    <w:p w14:paraId="7DFCD039" w14:textId="6CAF2086" w:rsidR="00263E2C" w:rsidRPr="00C71E80" w:rsidRDefault="00263E2C" w:rsidP="00263E2C">
      <w:pPr>
        <w:pStyle w:val="Bibliography"/>
        <w:rPr>
          <w:rFonts w:ascii="Times New Roman" w:hAnsi="Times New Roman"/>
        </w:rPr>
      </w:pPr>
      <w:r w:rsidRPr="00C71E80">
        <w:rPr>
          <w:rFonts w:ascii="Times New Roman" w:hAnsi="Times New Roman"/>
        </w:rPr>
        <w:t>Krause-</w:t>
      </w:r>
      <w:proofErr w:type="spellStart"/>
      <w:r w:rsidRPr="00C71E80">
        <w:rPr>
          <w:rFonts w:ascii="Times New Roman" w:hAnsi="Times New Roman"/>
        </w:rPr>
        <w:t>Parello</w:t>
      </w:r>
      <w:proofErr w:type="spellEnd"/>
      <w:r w:rsidRPr="00C71E80">
        <w:rPr>
          <w:rFonts w:ascii="Times New Roman" w:hAnsi="Times New Roman"/>
        </w:rPr>
        <w:t xml:space="preserve"> A, Friedmann E, Blanchard K, Payton M, Gee NR. 2020. Veterans and Shelter Dogs: Examining the Impact of a Dog-Walking Intervention on Physiological and Post-Traumatic Stress Symptoms. </w:t>
      </w:r>
      <w:proofErr w:type="spellStart"/>
      <w:r w:rsidRPr="00C71E80">
        <w:rPr>
          <w:rFonts w:ascii="Times New Roman" w:hAnsi="Times New Roman"/>
        </w:rPr>
        <w:t>Anthrozoös</w:t>
      </w:r>
      <w:proofErr w:type="spellEnd"/>
      <w:r w:rsidRPr="00C71E80">
        <w:rPr>
          <w:rFonts w:ascii="Times New Roman" w:hAnsi="Times New Roman"/>
        </w:rPr>
        <w:t xml:space="preserve">. 33(2):225–241. </w:t>
      </w:r>
    </w:p>
    <w:p w14:paraId="66CD1DD4" w14:textId="1A0BB553" w:rsidR="00263E2C" w:rsidRPr="00C71E80" w:rsidRDefault="00263E2C" w:rsidP="00263E2C">
      <w:pPr>
        <w:pStyle w:val="Bibliography"/>
        <w:rPr>
          <w:rFonts w:ascii="Times New Roman" w:hAnsi="Times New Roman"/>
        </w:rPr>
      </w:pPr>
      <w:r w:rsidRPr="00C71E80">
        <w:rPr>
          <w:rFonts w:ascii="Times New Roman" w:hAnsi="Times New Roman"/>
        </w:rPr>
        <w:t xml:space="preserve">Krystal H, </w:t>
      </w:r>
      <w:proofErr w:type="spellStart"/>
      <w:r w:rsidRPr="00C71E80">
        <w:rPr>
          <w:rFonts w:ascii="Times New Roman" w:hAnsi="Times New Roman"/>
        </w:rPr>
        <w:t>Karper</w:t>
      </w:r>
      <w:proofErr w:type="spellEnd"/>
      <w:r w:rsidRPr="00C71E80">
        <w:rPr>
          <w:rFonts w:ascii="Times New Roman" w:hAnsi="Times New Roman"/>
        </w:rPr>
        <w:t xml:space="preserve"> P, </w:t>
      </w:r>
      <w:proofErr w:type="spellStart"/>
      <w:r w:rsidRPr="00C71E80">
        <w:rPr>
          <w:rFonts w:ascii="Times New Roman" w:hAnsi="Times New Roman"/>
        </w:rPr>
        <w:t>Seibyl</w:t>
      </w:r>
      <w:proofErr w:type="spellEnd"/>
      <w:r w:rsidRPr="00C71E80">
        <w:rPr>
          <w:rFonts w:ascii="Times New Roman" w:hAnsi="Times New Roman"/>
        </w:rPr>
        <w:t xml:space="preserve"> P, Freeman K, Delaney R, </w:t>
      </w:r>
      <w:proofErr w:type="spellStart"/>
      <w:r w:rsidRPr="00C71E80">
        <w:rPr>
          <w:rFonts w:ascii="Times New Roman" w:hAnsi="Times New Roman"/>
        </w:rPr>
        <w:t>Bremner</w:t>
      </w:r>
      <w:proofErr w:type="spellEnd"/>
      <w:r w:rsidRPr="00C71E80">
        <w:rPr>
          <w:rFonts w:ascii="Times New Roman" w:hAnsi="Times New Roman"/>
        </w:rPr>
        <w:t xml:space="preserve"> D, </w:t>
      </w:r>
      <w:proofErr w:type="spellStart"/>
      <w:r w:rsidRPr="00C71E80">
        <w:rPr>
          <w:rFonts w:ascii="Times New Roman" w:hAnsi="Times New Roman"/>
        </w:rPr>
        <w:t>Heninger</w:t>
      </w:r>
      <w:proofErr w:type="spellEnd"/>
      <w:r w:rsidRPr="00C71E80">
        <w:rPr>
          <w:rFonts w:ascii="Times New Roman" w:hAnsi="Times New Roman"/>
        </w:rPr>
        <w:t xml:space="preserve"> R, Bowers B Jr, Charney S. 1994. Subanesthetic Effects of the Noncompetitive NMDA Antagonist, Ketamine, in Humans: Psychotomimetic, Perceptual, Cognitive, and Neuroendocrine Responses. Arch Gen Psychiatry. 51(3):199–214. </w:t>
      </w:r>
    </w:p>
    <w:p w14:paraId="65FE496C" w14:textId="637FFD76" w:rsidR="00263E2C" w:rsidRDefault="00263E2C" w:rsidP="00263E2C">
      <w:pPr>
        <w:pStyle w:val="Bibliography"/>
        <w:rPr>
          <w:rFonts w:ascii="Times New Roman" w:hAnsi="Times New Roman"/>
        </w:rPr>
      </w:pPr>
      <w:r w:rsidRPr="00C71E80">
        <w:rPr>
          <w:rFonts w:ascii="Times New Roman" w:hAnsi="Times New Roman"/>
        </w:rPr>
        <w:t xml:space="preserve">Lake P, Mitchell G, Shorter I, </w:t>
      </w:r>
      <w:proofErr w:type="spellStart"/>
      <w:r w:rsidRPr="00C71E80">
        <w:rPr>
          <w:rFonts w:ascii="Times New Roman" w:hAnsi="Times New Roman"/>
        </w:rPr>
        <w:t>Kosten</w:t>
      </w:r>
      <w:proofErr w:type="spellEnd"/>
      <w:r w:rsidRPr="00C71E80">
        <w:rPr>
          <w:rFonts w:ascii="Times New Roman" w:hAnsi="Times New Roman"/>
        </w:rPr>
        <w:t xml:space="preserve"> T, Domingo B, </w:t>
      </w:r>
      <w:proofErr w:type="spellStart"/>
      <w:r w:rsidRPr="00C71E80">
        <w:rPr>
          <w:rFonts w:ascii="Times New Roman" w:hAnsi="Times New Roman"/>
        </w:rPr>
        <w:t>Walder</w:t>
      </w:r>
      <w:proofErr w:type="spellEnd"/>
      <w:r w:rsidRPr="00C71E80">
        <w:rPr>
          <w:rFonts w:ascii="Times New Roman" w:hAnsi="Times New Roman"/>
        </w:rPr>
        <w:t xml:space="preserve"> M. 2019. Buprenorphine for the </w:t>
      </w:r>
      <w:r w:rsidR="00320B09">
        <w:rPr>
          <w:rFonts w:ascii="Times New Roman" w:hAnsi="Times New Roman"/>
        </w:rPr>
        <w:t>T</w:t>
      </w:r>
      <w:r w:rsidRPr="00C71E80">
        <w:rPr>
          <w:rFonts w:ascii="Times New Roman" w:hAnsi="Times New Roman"/>
        </w:rPr>
        <w:t xml:space="preserve">reatment of </w:t>
      </w:r>
      <w:r w:rsidR="00320B09">
        <w:rPr>
          <w:rFonts w:ascii="Times New Roman" w:hAnsi="Times New Roman"/>
        </w:rPr>
        <w:t>P</w:t>
      </w:r>
      <w:r w:rsidRPr="00C71E80">
        <w:rPr>
          <w:rFonts w:ascii="Times New Roman" w:hAnsi="Times New Roman"/>
        </w:rPr>
        <w:t>ost</w:t>
      </w:r>
      <w:r w:rsidR="00320B09">
        <w:rPr>
          <w:rFonts w:ascii="Times New Roman" w:hAnsi="Times New Roman"/>
        </w:rPr>
        <w:t>-T</w:t>
      </w:r>
      <w:r w:rsidRPr="00C71E80">
        <w:rPr>
          <w:rFonts w:ascii="Times New Roman" w:hAnsi="Times New Roman"/>
        </w:rPr>
        <w:t xml:space="preserve">raumatic </w:t>
      </w:r>
      <w:r w:rsidR="00320B09">
        <w:rPr>
          <w:rFonts w:ascii="Times New Roman" w:hAnsi="Times New Roman"/>
        </w:rPr>
        <w:t>S</w:t>
      </w:r>
      <w:r w:rsidRPr="00C71E80">
        <w:rPr>
          <w:rFonts w:ascii="Times New Roman" w:hAnsi="Times New Roman"/>
        </w:rPr>
        <w:t xml:space="preserve">tress </w:t>
      </w:r>
      <w:r w:rsidR="00320B09">
        <w:rPr>
          <w:rFonts w:ascii="Times New Roman" w:hAnsi="Times New Roman"/>
        </w:rPr>
        <w:t>D</w:t>
      </w:r>
      <w:r w:rsidRPr="00C71E80">
        <w:rPr>
          <w:rFonts w:ascii="Times New Roman" w:hAnsi="Times New Roman"/>
        </w:rPr>
        <w:t xml:space="preserve">isorder. Am J Addict. 28(2):86–91. </w:t>
      </w:r>
    </w:p>
    <w:p w14:paraId="0D648BBB" w14:textId="4205E5FD" w:rsidR="00536044" w:rsidRDefault="00536044" w:rsidP="00536044">
      <w:proofErr w:type="spellStart"/>
      <w:r>
        <w:t>Lakkireddy</w:t>
      </w:r>
      <w:proofErr w:type="spellEnd"/>
      <w:r>
        <w:t xml:space="preserve"> D, Atkins D, </w:t>
      </w:r>
      <w:proofErr w:type="spellStart"/>
      <w:r>
        <w:t>Pillarisetti</w:t>
      </w:r>
      <w:proofErr w:type="spellEnd"/>
      <w:r>
        <w:t xml:space="preserve"> J, </w:t>
      </w:r>
      <w:proofErr w:type="spellStart"/>
      <w:r>
        <w:t>Ryschon</w:t>
      </w:r>
      <w:proofErr w:type="spellEnd"/>
      <w:r>
        <w:t xml:space="preserve"> K, </w:t>
      </w:r>
      <w:proofErr w:type="spellStart"/>
      <w:r>
        <w:t>Bommana</w:t>
      </w:r>
      <w:proofErr w:type="spellEnd"/>
      <w:r>
        <w:t xml:space="preserve"> S, </w:t>
      </w:r>
      <w:proofErr w:type="spellStart"/>
      <w:r>
        <w:t>Drisko</w:t>
      </w:r>
      <w:proofErr w:type="spellEnd"/>
      <w:r>
        <w:t xml:space="preserve"> J, Vanga S, Dawn B. 2013. Effect of </w:t>
      </w:r>
      <w:r>
        <w:t>Y</w:t>
      </w:r>
      <w:r>
        <w:t xml:space="preserve">oga on </w:t>
      </w:r>
      <w:r>
        <w:t>A</w:t>
      </w:r>
      <w:r>
        <w:t xml:space="preserve">rrhythmia </w:t>
      </w:r>
      <w:r>
        <w:t>B</w:t>
      </w:r>
      <w:r>
        <w:t xml:space="preserve">urden, </w:t>
      </w:r>
      <w:r>
        <w:t>A</w:t>
      </w:r>
      <w:r>
        <w:t xml:space="preserve">nxiety, </w:t>
      </w:r>
      <w:r>
        <w:t>D</w:t>
      </w:r>
      <w:r>
        <w:t xml:space="preserve">epression, and </w:t>
      </w:r>
      <w:r>
        <w:t>Q</w:t>
      </w:r>
      <w:r>
        <w:t xml:space="preserve">uality of </w:t>
      </w:r>
      <w:r>
        <w:t>L</w:t>
      </w:r>
      <w:r>
        <w:t xml:space="preserve">ife in </w:t>
      </w:r>
      <w:r>
        <w:t>P</w:t>
      </w:r>
      <w:r>
        <w:t xml:space="preserve">aroxysmal </w:t>
      </w:r>
      <w:r>
        <w:t>A</w:t>
      </w:r>
      <w:r>
        <w:t xml:space="preserve">trial </w:t>
      </w:r>
      <w:r>
        <w:t>F</w:t>
      </w:r>
      <w:r>
        <w:t xml:space="preserve">ibrillation: the YOGA My Heart Study. J Am Coll </w:t>
      </w:r>
      <w:proofErr w:type="spellStart"/>
      <w:r>
        <w:t>Cardiol</w:t>
      </w:r>
      <w:proofErr w:type="spellEnd"/>
      <w:r>
        <w:t xml:space="preserve">. 61(11):1177–1182. </w:t>
      </w:r>
    </w:p>
    <w:p w14:paraId="402B936D" w14:textId="77777777" w:rsidR="00536044" w:rsidRPr="00536044" w:rsidRDefault="00536044" w:rsidP="00536044"/>
    <w:p w14:paraId="6753944A" w14:textId="3AC2D6D9" w:rsidR="00263E2C" w:rsidRPr="00C71E80" w:rsidRDefault="00263E2C" w:rsidP="00263E2C">
      <w:pPr>
        <w:pStyle w:val="Bibliography"/>
        <w:rPr>
          <w:rFonts w:ascii="Times New Roman" w:hAnsi="Times New Roman"/>
        </w:rPr>
      </w:pPr>
      <w:r w:rsidRPr="00C71E80">
        <w:rPr>
          <w:rFonts w:ascii="Times New Roman" w:hAnsi="Times New Roman"/>
        </w:rPr>
        <w:t xml:space="preserve">Lapierre B, </w:t>
      </w:r>
      <w:proofErr w:type="spellStart"/>
      <w:r w:rsidRPr="00C71E80">
        <w:rPr>
          <w:rFonts w:ascii="Times New Roman" w:hAnsi="Times New Roman"/>
        </w:rPr>
        <w:t>Schwegler</w:t>
      </w:r>
      <w:proofErr w:type="spellEnd"/>
      <w:r w:rsidRPr="00C71E80">
        <w:rPr>
          <w:rFonts w:ascii="Times New Roman" w:hAnsi="Times New Roman"/>
        </w:rPr>
        <w:t xml:space="preserve"> F, </w:t>
      </w:r>
      <w:proofErr w:type="spellStart"/>
      <w:r w:rsidRPr="00C71E80">
        <w:rPr>
          <w:rFonts w:ascii="Times New Roman" w:hAnsi="Times New Roman"/>
        </w:rPr>
        <w:t>LaBauve</w:t>
      </w:r>
      <w:proofErr w:type="spellEnd"/>
      <w:r w:rsidRPr="00C71E80">
        <w:rPr>
          <w:rFonts w:ascii="Times New Roman" w:hAnsi="Times New Roman"/>
        </w:rPr>
        <w:t xml:space="preserve"> J. 2007. Post</w:t>
      </w:r>
      <w:r w:rsidR="00320B09">
        <w:rPr>
          <w:rFonts w:ascii="Times New Roman" w:hAnsi="Times New Roman"/>
        </w:rPr>
        <w:t>-T</w:t>
      </w:r>
      <w:r w:rsidRPr="00C71E80">
        <w:rPr>
          <w:rFonts w:ascii="Times New Roman" w:hAnsi="Times New Roman"/>
        </w:rPr>
        <w:t xml:space="preserve">raumatic </w:t>
      </w:r>
      <w:r w:rsidR="00320B09">
        <w:rPr>
          <w:rFonts w:ascii="Times New Roman" w:hAnsi="Times New Roman"/>
        </w:rPr>
        <w:t>S</w:t>
      </w:r>
      <w:r w:rsidRPr="00C71E80">
        <w:rPr>
          <w:rFonts w:ascii="Times New Roman" w:hAnsi="Times New Roman"/>
        </w:rPr>
        <w:t xml:space="preserve">tress and </w:t>
      </w:r>
      <w:r w:rsidR="00320B09">
        <w:rPr>
          <w:rFonts w:ascii="Times New Roman" w:hAnsi="Times New Roman"/>
        </w:rPr>
        <w:t>D</w:t>
      </w:r>
      <w:r w:rsidRPr="00C71E80">
        <w:rPr>
          <w:rFonts w:ascii="Times New Roman" w:hAnsi="Times New Roman"/>
        </w:rPr>
        <w:t xml:space="preserve">epression </w:t>
      </w:r>
      <w:r w:rsidR="00320B09">
        <w:rPr>
          <w:rFonts w:ascii="Times New Roman" w:hAnsi="Times New Roman"/>
        </w:rPr>
        <w:t>S</w:t>
      </w:r>
      <w:r w:rsidRPr="00C71E80">
        <w:rPr>
          <w:rFonts w:ascii="Times New Roman" w:hAnsi="Times New Roman"/>
        </w:rPr>
        <w:t xml:space="preserve">ymptoms in </w:t>
      </w:r>
      <w:r w:rsidR="00320B09">
        <w:rPr>
          <w:rFonts w:ascii="Times New Roman" w:hAnsi="Times New Roman"/>
        </w:rPr>
        <w:t>S</w:t>
      </w:r>
      <w:r w:rsidRPr="00C71E80">
        <w:rPr>
          <w:rFonts w:ascii="Times New Roman" w:hAnsi="Times New Roman"/>
        </w:rPr>
        <w:t xml:space="preserve">oldiers </w:t>
      </w:r>
      <w:r w:rsidR="00320B09">
        <w:rPr>
          <w:rFonts w:ascii="Times New Roman" w:hAnsi="Times New Roman"/>
        </w:rPr>
        <w:t>R</w:t>
      </w:r>
      <w:r w:rsidRPr="00C71E80">
        <w:rPr>
          <w:rFonts w:ascii="Times New Roman" w:hAnsi="Times New Roman"/>
        </w:rPr>
        <w:t xml:space="preserve">eturning from </w:t>
      </w:r>
      <w:r w:rsidR="00320B09">
        <w:rPr>
          <w:rFonts w:ascii="Times New Roman" w:hAnsi="Times New Roman"/>
        </w:rPr>
        <w:t>C</w:t>
      </w:r>
      <w:r w:rsidRPr="00C71E80">
        <w:rPr>
          <w:rFonts w:ascii="Times New Roman" w:hAnsi="Times New Roman"/>
        </w:rPr>
        <w:t xml:space="preserve">ombat </w:t>
      </w:r>
      <w:r w:rsidR="00320B09">
        <w:rPr>
          <w:rFonts w:ascii="Times New Roman" w:hAnsi="Times New Roman"/>
        </w:rPr>
        <w:t>O</w:t>
      </w:r>
      <w:r w:rsidRPr="00C71E80">
        <w:rPr>
          <w:rFonts w:ascii="Times New Roman" w:hAnsi="Times New Roman"/>
        </w:rPr>
        <w:t xml:space="preserve">perations in Iraq and Afghanistan. J Trauma Stress. 20(6):933–943. </w:t>
      </w:r>
    </w:p>
    <w:p w14:paraId="0C6CD5D8" w14:textId="33CACA7C" w:rsidR="00263E2C" w:rsidRDefault="00263E2C" w:rsidP="00263E2C">
      <w:pPr>
        <w:pStyle w:val="Bibliography"/>
        <w:rPr>
          <w:rFonts w:ascii="Times New Roman" w:hAnsi="Times New Roman"/>
        </w:rPr>
      </w:pPr>
      <w:r w:rsidRPr="00C71E80">
        <w:rPr>
          <w:rFonts w:ascii="Times New Roman" w:hAnsi="Times New Roman"/>
        </w:rPr>
        <w:t>Lass-</w:t>
      </w:r>
      <w:proofErr w:type="spellStart"/>
      <w:r w:rsidRPr="00C71E80">
        <w:rPr>
          <w:rFonts w:ascii="Times New Roman" w:hAnsi="Times New Roman"/>
        </w:rPr>
        <w:t>Hennemann</w:t>
      </w:r>
      <w:proofErr w:type="spellEnd"/>
      <w:r w:rsidRPr="00C71E80">
        <w:rPr>
          <w:rFonts w:ascii="Times New Roman" w:hAnsi="Times New Roman"/>
        </w:rPr>
        <w:t xml:space="preserve"> J, Sch</w:t>
      </w:r>
      <w:r w:rsidR="00320B09">
        <w:rPr>
          <w:rFonts w:ascii="Times New Roman" w:hAnsi="Times New Roman"/>
        </w:rPr>
        <w:t>a</w:t>
      </w:r>
      <w:r w:rsidRPr="00C71E80">
        <w:rPr>
          <w:rFonts w:ascii="Times New Roman" w:hAnsi="Times New Roman"/>
        </w:rPr>
        <w:t>fer K, R</w:t>
      </w:r>
      <w:r w:rsidR="00936A72">
        <w:rPr>
          <w:rFonts w:ascii="Times New Roman" w:hAnsi="Times New Roman"/>
        </w:rPr>
        <w:t>a</w:t>
      </w:r>
      <w:r w:rsidRPr="00C71E80">
        <w:rPr>
          <w:rFonts w:ascii="Times New Roman" w:hAnsi="Times New Roman"/>
        </w:rPr>
        <w:t xml:space="preserve">mer S, </w:t>
      </w:r>
      <w:proofErr w:type="spellStart"/>
      <w:r w:rsidRPr="00C71E80">
        <w:rPr>
          <w:rFonts w:ascii="Times New Roman" w:hAnsi="Times New Roman"/>
        </w:rPr>
        <w:t>Holz</w:t>
      </w:r>
      <w:proofErr w:type="spellEnd"/>
      <w:r w:rsidRPr="00C71E80">
        <w:rPr>
          <w:rFonts w:ascii="Times New Roman" w:hAnsi="Times New Roman"/>
        </w:rPr>
        <w:t xml:space="preserve"> E, </w:t>
      </w:r>
      <w:proofErr w:type="spellStart"/>
      <w:r w:rsidRPr="00C71E80">
        <w:rPr>
          <w:rFonts w:ascii="Times New Roman" w:hAnsi="Times New Roman"/>
        </w:rPr>
        <w:t>Streb</w:t>
      </w:r>
      <w:proofErr w:type="spellEnd"/>
      <w:r w:rsidRPr="00C71E80">
        <w:rPr>
          <w:rFonts w:ascii="Times New Roman" w:hAnsi="Times New Roman"/>
        </w:rPr>
        <w:t xml:space="preserve"> M, Michael T. 2018 Sep 4. Therapy Dogs as a Crisis Intervention After Traumatic Events? - An Experimental Study. Front Psychol. </w:t>
      </w:r>
    </w:p>
    <w:p w14:paraId="05C6C520" w14:textId="1AEC1818" w:rsidR="00642701" w:rsidRDefault="00642701" w:rsidP="00642701">
      <w:proofErr w:type="spellStart"/>
      <w:r w:rsidRPr="007D4A81">
        <w:t>Leclercq</w:t>
      </w:r>
      <w:proofErr w:type="spellEnd"/>
      <w:r w:rsidRPr="007D4A81">
        <w:t xml:space="preserve"> S, Forsythe P, </w:t>
      </w:r>
      <w:proofErr w:type="spellStart"/>
      <w:r w:rsidRPr="007D4A81">
        <w:t>Bienenstock</w:t>
      </w:r>
      <w:proofErr w:type="spellEnd"/>
      <w:r w:rsidRPr="007D4A81">
        <w:t xml:space="preserve"> J. 2016. Posttraumatic Stress Disorder: Does the Gut Microbiome Hold the Key? Can J Psychiatry. 61(4):204–213.</w:t>
      </w:r>
    </w:p>
    <w:p w14:paraId="6E6502D8" w14:textId="77777777" w:rsidR="00642701" w:rsidRPr="00642701" w:rsidRDefault="00642701" w:rsidP="00642701"/>
    <w:p w14:paraId="465475B7" w14:textId="5FFAA3F8" w:rsidR="00263E2C" w:rsidRPr="00C71E80" w:rsidRDefault="00263E2C" w:rsidP="00263E2C">
      <w:pPr>
        <w:pStyle w:val="Bibliography"/>
        <w:rPr>
          <w:rFonts w:ascii="Times New Roman" w:hAnsi="Times New Roman"/>
        </w:rPr>
      </w:pPr>
      <w:r w:rsidRPr="00C71E80">
        <w:rPr>
          <w:rFonts w:ascii="Times New Roman" w:hAnsi="Times New Roman"/>
        </w:rPr>
        <w:t xml:space="preserve">LeDoux E. 2000. Emotion </w:t>
      </w:r>
      <w:r w:rsidR="00936A72">
        <w:rPr>
          <w:rFonts w:ascii="Times New Roman" w:hAnsi="Times New Roman"/>
        </w:rPr>
        <w:t>C</w:t>
      </w:r>
      <w:r w:rsidRPr="00C71E80">
        <w:rPr>
          <w:rFonts w:ascii="Times New Roman" w:hAnsi="Times New Roman"/>
        </w:rPr>
        <w:t xml:space="preserve">ircuits in the </w:t>
      </w:r>
      <w:r w:rsidR="00936A72">
        <w:rPr>
          <w:rFonts w:ascii="Times New Roman" w:hAnsi="Times New Roman"/>
        </w:rPr>
        <w:t>B</w:t>
      </w:r>
      <w:r w:rsidRPr="00C71E80">
        <w:rPr>
          <w:rFonts w:ascii="Times New Roman" w:hAnsi="Times New Roman"/>
        </w:rPr>
        <w:t xml:space="preserve">rain. </w:t>
      </w:r>
      <w:proofErr w:type="spellStart"/>
      <w:r w:rsidRPr="00C71E80">
        <w:rPr>
          <w:rFonts w:ascii="Times New Roman" w:hAnsi="Times New Roman"/>
        </w:rPr>
        <w:t>Annu</w:t>
      </w:r>
      <w:proofErr w:type="spellEnd"/>
      <w:r w:rsidRPr="00C71E80">
        <w:rPr>
          <w:rFonts w:ascii="Times New Roman" w:hAnsi="Times New Roman"/>
        </w:rPr>
        <w:t xml:space="preserve"> Rev </w:t>
      </w:r>
      <w:proofErr w:type="spellStart"/>
      <w:r w:rsidRPr="00C71E80">
        <w:rPr>
          <w:rFonts w:ascii="Times New Roman" w:hAnsi="Times New Roman"/>
        </w:rPr>
        <w:t>Neurosci</w:t>
      </w:r>
      <w:proofErr w:type="spellEnd"/>
      <w:r w:rsidRPr="00C71E80">
        <w:rPr>
          <w:rFonts w:ascii="Times New Roman" w:hAnsi="Times New Roman"/>
        </w:rPr>
        <w:t xml:space="preserve">. 23:155–184. </w:t>
      </w:r>
    </w:p>
    <w:p w14:paraId="3134DACD" w14:textId="0E8F5020" w:rsidR="00263E2C" w:rsidRPr="00C71E80" w:rsidRDefault="00263E2C" w:rsidP="00263E2C">
      <w:pPr>
        <w:pStyle w:val="Bibliography"/>
        <w:rPr>
          <w:rFonts w:ascii="Times New Roman" w:hAnsi="Times New Roman"/>
        </w:rPr>
      </w:pPr>
      <w:r w:rsidRPr="00C71E80">
        <w:rPr>
          <w:rFonts w:ascii="Times New Roman" w:hAnsi="Times New Roman"/>
        </w:rPr>
        <w:t xml:space="preserve">Lee J, </w:t>
      </w:r>
      <w:proofErr w:type="spellStart"/>
      <w:r w:rsidRPr="00C71E80">
        <w:rPr>
          <w:rFonts w:ascii="Times New Roman" w:hAnsi="Times New Roman"/>
        </w:rPr>
        <w:t>Schnitzlein</w:t>
      </w:r>
      <w:proofErr w:type="spellEnd"/>
      <w:r w:rsidRPr="00C71E80">
        <w:rPr>
          <w:rFonts w:ascii="Times New Roman" w:hAnsi="Times New Roman"/>
        </w:rPr>
        <w:t xml:space="preserve"> W, Wolf P, </w:t>
      </w:r>
      <w:proofErr w:type="spellStart"/>
      <w:r w:rsidRPr="00C71E80">
        <w:rPr>
          <w:rFonts w:ascii="Times New Roman" w:hAnsi="Times New Roman"/>
        </w:rPr>
        <w:t>Vythilingam</w:t>
      </w:r>
      <w:proofErr w:type="spellEnd"/>
      <w:r w:rsidRPr="00C71E80">
        <w:rPr>
          <w:rFonts w:ascii="Times New Roman" w:hAnsi="Times New Roman"/>
        </w:rPr>
        <w:t xml:space="preserve"> M, </w:t>
      </w:r>
      <w:proofErr w:type="spellStart"/>
      <w:r w:rsidRPr="00C71E80">
        <w:rPr>
          <w:rFonts w:ascii="Times New Roman" w:hAnsi="Times New Roman"/>
        </w:rPr>
        <w:t>Rasmusson</w:t>
      </w:r>
      <w:proofErr w:type="spellEnd"/>
      <w:r w:rsidRPr="00C71E80">
        <w:rPr>
          <w:rFonts w:ascii="Times New Roman" w:hAnsi="Times New Roman"/>
        </w:rPr>
        <w:t xml:space="preserve"> M, Hoge W. 2016. Psychotherapy Versus Pharmacotherapy for Post</w:t>
      </w:r>
      <w:r w:rsidR="005656E1">
        <w:rPr>
          <w:rFonts w:ascii="Times New Roman" w:hAnsi="Times New Roman"/>
        </w:rPr>
        <w:t>-T</w:t>
      </w:r>
      <w:r w:rsidRPr="00C71E80">
        <w:rPr>
          <w:rFonts w:ascii="Times New Roman" w:hAnsi="Times New Roman"/>
        </w:rPr>
        <w:t xml:space="preserve">raumatic Stress Disorder: Systemic Review and Meta-Analyses to Determine First-Line Treatments. Depress Anxiety. 33(9):792–806. </w:t>
      </w:r>
    </w:p>
    <w:p w14:paraId="53BAC4D6" w14:textId="5F0B2BE3" w:rsidR="00263E2C" w:rsidRPr="00C71E80" w:rsidRDefault="00263E2C" w:rsidP="00263E2C">
      <w:pPr>
        <w:pStyle w:val="Bibliography"/>
        <w:rPr>
          <w:rFonts w:ascii="Times New Roman" w:hAnsi="Times New Roman"/>
        </w:rPr>
      </w:pPr>
      <w:r w:rsidRPr="00C71E80">
        <w:rPr>
          <w:rFonts w:ascii="Times New Roman" w:hAnsi="Times New Roman"/>
        </w:rPr>
        <w:t xml:space="preserve">Li M, Li K, Zhang H, Jiang Y. Study on the </w:t>
      </w:r>
      <w:r w:rsidR="005656E1">
        <w:rPr>
          <w:rFonts w:ascii="Times New Roman" w:hAnsi="Times New Roman"/>
        </w:rPr>
        <w:t>M</w:t>
      </w:r>
      <w:r w:rsidRPr="00C71E80">
        <w:rPr>
          <w:rFonts w:ascii="Times New Roman" w:hAnsi="Times New Roman"/>
        </w:rPr>
        <w:t xml:space="preserve">echanism of TMRK </w:t>
      </w:r>
      <w:r w:rsidR="005656E1">
        <w:rPr>
          <w:rFonts w:ascii="Times New Roman" w:hAnsi="Times New Roman"/>
        </w:rPr>
        <w:t>E</w:t>
      </w:r>
      <w:r w:rsidRPr="00C71E80">
        <w:rPr>
          <w:rFonts w:ascii="Times New Roman" w:hAnsi="Times New Roman"/>
        </w:rPr>
        <w:t xml:space="preserve">lectroacupuncture in </w:t>
      </w:r>
      <w:r w:rsidR="005656E1">
        <w:rPr>
          <w:rFonts w:ascii="Times New Roman" w:hAnsi="Times New Roman"/>
        </w:rPr>
        <w:t>R</w:t>
      </w:r>
      <w:r w:rsidRPr="00C71E80">
        <w:rPr>
          <w:rFonts w:ascii="Times New Roman" w:hAnsi="Times New Roman"/>
        </w:rPr>
        <w:t xml:space="preserve">epairing </w:t>
      </w:r>
      <w:r w:rsidR="005656E1">
        <w:rPr>
          <w:rFonts w:ascii="Times New Roman" w:hAnsi="Times New Roman"/>
        </w:rPr>
        <w:t>S</w:t>
      </w:r>
      <w:r w:rsidRPr="00C71E80">
        <w:rPr>
          <w:rFonts w:ascii="Times New Roman" w:hAnsi="Times New Roman"/>
        </w:rPr>
        <w:t xml:space="preserve">ynaptic </w:t>
      </w:r>
      <w:r w:rsidR="005656E1">
        <w:rPr>
          <w:rFonts w:ascii="Times New Roman" w:hAnsi="Times New Roman"/>
        </w:rPr>
        <w:t>P</w:t>
      </w:r>
      <w:r w:rsidRPr="00C71E80">
        <w:rPr>
          <w:rFonts w:ascii="Times New Roman" w:hAnsi="Times New Roman"/>
        </w:rPr>
        <w:t xml:space="preserve">lasticity in </w:t>
      </w:r>
      <w:r w:rsidR="005656E1">
        <w:rPr>
          <w:rFonts w:ascii="Times New Roman" w:hAnsi="Times New Roman"/>
        </w:rPr>
        <w:t>A</w:t>
      </w:r>
      <w:r w:rsidRPr="00C71E80">
        <w:rPr>
          <w:rFonts w:ascii="Times New Roman" w:hAnsi="Times New Roman"/>
        </w:rPr>
        <w:t xml:space="preserve">mygdala and </w:t>
      </w:r>
      <w:r w:rsidR="005656E1">
        <w:rPr>
          <w:rFonts w:ascii="Times New Roman" w:hAnsi="Times New Roman"/>
        </w:rPr>
        <w:t>H</w:t>
      </w:r>
      <w:r w:rsidRPr="00C71E80">
        <w:rPr>
          <w:rFonts w:ascii="Times New Roman" w:hAnsi="Times New Roman"/>
        </w:rPr>
        <w:t xml:space="preserve">ippocampus to </w:t>
      </w:r>
      <w:r w:rsidR="005656E1">
        <w:rPr>
          <w:rFonts w:ascii="Times New Roman" w:hAnsi="Times New Roman"/>
        </w:rPr>
        <w:t>R</w:t>
      </w:r>
      <w:r w:rsidRPr="00C71E80">
        <w:rPr>
          <w:rFonts w:ascii="Times New Roman" w:hAnsi="Times New Roman"/>
        </w:rPr>
        <w:t xml:space="preserve">elieve </w:t>
      </w:r>
      <w:r w:rsidR="005656E1">
        <w:rPr>
          <w:rFonts w:ascii="Times New Roman" w:hAnsi="Times New Roman"/>
        </w:rPr>
        <w:t>F</w:t>
      </w:r>
      <w:r w:rsidRPr="00C71E80">
        <w:rPr>
          <w:rFonts w:ascii="Times New Roman" w:hAnsi="Times New Roman"/>
        </w:rPr>
        <w:t xml:space="preserve">ear </w:t>
      </w:r>
      <w:r w:rsidR="005656E1">
        <w:rPr>
          <w:rFonts w:ascii="Times New Roman" w:hAnsi="Times New Roman"/>
        </w:rPr>
        <w:t>M</w:t>
      </w:r>
      <w:r w:rsidRPr="00C71E80">
        <w:rPr>
          <w:rFonts w:ascii="Times New Roman" w:hAnsi="Times New Roman"/>
        </w:rPr>
        <w:t xml:space="preserve">emory in PTSD </w:t>
      </w:r>
      <w:r w:rsidR="005656E1">
        <w:rPr>
          <w:rFonts w:ascii="Times New Roman" w:hAnsi="Times New Roman"/>
        </w:rPr>
        <w:t>R</w:t>
      </w:r>
      <w:r w:rsidRPr="00C71E80">
        <w:rPr>
          <w:rFonts w:ascii="Times New Roman" w:hAnsi="Times New Roman"/>
        </w:rPr>
        <w:t xml:space="preserve">ats. Technol Health Care. 27(Suppl 1):425–443. </w:t>
      </w:r>
    </w:p>
    <w:p w14:paraId="3F1E21D4" w14:textId="5EE30836" w:rsidR="00263E2C" w:rsidRPr="00C71E80" w:rsidRDefault="00263E2C" w:rsidP="00263E2C">
      <w:pPr>
        <w:pStyle w:val="Bibliography"/>
        <w:rPr>
          <w:rFonts w:ascii="Times New Roman" w:hAnsi="Times New Roman"/>
        </w:rPr>
      </w:pPr>
      <w:proofErr w:type="spellStart"/>
      <w:r w:rsidRPr="00C71E80">
        <w:rPr>
          <w:rFonts w:ascii="Times New Roman" w:hAnsi="Times New Roman"/>
        </w:rPr>
        <w:t>MacNamara</w:t>
      </w:r>
      <w:proofErr w:type="spellEnd"/>
      <w:r w:rsidRPr="00C71E80">
        <w:rPr>
          <w:rFonts w:ascii="Times New Roman" w:hAnsi="Times New Roman"/>
        </w:rPr>
        <w:t xml:space="preserve"> A, </w:t>
      </w:r>
      <w:proofErr w:type="spellStart"/>
      <w:r w:rsidRPr="00C71E80">
        <w:rPr>
          <w:rFonts w:ascii="Times New Roman" w:hAnsi="Times New Roman"/>
        </w:rPr>
        <w:t>Rabinak</w:t>
      </w:r>
      <w:proofErr w:type="spellEnd"/>
      <w:r w:rsidRPr="00C71E80">
        <w:rPr>
          <w:rFonts w:ascii="Times New Roman" w:hAnsi="Times New Roman"/>
        </w:rPr>
        <w:t xml:space="preserve"> A, Kennedy E, Fitzgerald A, </w:t>
      </w:r>
      <w:proofErr w:type="spellStart"/>
      <w:r w:rsidRPr="00C71E80">
        <w:rPr>
          <w:rFonts w:ascii="Times New Roman" w:hAnsi="Times New Roman"/>
        </w:rPr>
        <w:t>Liberzon</w:t>
      </w:r>
      <w:proofErr w:type="spellEnd"/>
      <w:r w:rsidRPr="00C71E80">
        <w:rPr>
          <w:rFonts w:ascii="Times New Roman" w:hAnsi="Times New Roman"/>
        </w:rPr>
        <w:t xml:space="preserve"> I, Stein B, Phan L. 2016. Emotion Regulatory Brain Function and SSRI Treatment in PTSD: Neural Correlates and Predictors of Change. Neuropsychopharmacology. 41(2):611–618. </w:t>
      </w:r>
    </w:p>
    <w:p w14:paraId="0204A4ED" w14:textId="256F2F3C" w:rsidR="00263E2C" w:rsidRPr="00C71E80" w:rsidRDefault="00263E2C" w:rsidP="00263E2C">
      <w:pPr>
        <w:pStyle w:val="Bibliography"/>
        <w:rPr>
          <w:rFonts w:ascii="Times New Roman" w:hAnsi="Times New Roman"/>
        </w:rPr>
      </w:pPr>
      <w:r w:rsidRPr="00C71E80">
        <w:rPr>
          <w:rFonts w:ascii="Times New Roman" w:hAnsi="Times New Roman"/>
        </w:rPr>
        <w:t xml:space="preserve">Miller P, </w:t>
      </w:r>
      <w:proofErr w:type="spellStart"/>
      <w:r w:rsidRPr="00C71E80">
        <w:rPr>
          <w:rFonts w:ascii="Times New Roman" w:hAnsi="Times New Roman"/>
        </w:rPr>
        <w:t>Bonawitz</w:t>
      </w:r>
      <w:proofErr w:type="spellEnd"/>
      <w:r w:rsidRPr="00C71E80">
        <w:rPr>
          <w:rFonts w:ascii="Times New Roman" w:hAnsi="Times New Roman"/>
        </w:rPr>
        <w:t xml:space="preserve"> C, Ostrovsky O. 2020. The </w:t>
      </w:r>
      <w:r w:rsidR="00E74EE7">
        <w:rPr>
          <w:rFonts w:ascii="Times New Roman" w:hAnsi="Times New Roman"/>
        </w:rPr>
        <w:t>E</w:t>
      </w:r>
      <w:r w:rsidRPr="00C71E80">
        <w:rPr>
          <w:rFonts w:ascii="Times New Roman" w:hAnsi="Times New Roman"/>
        </w:rPr>
        <w:t xml:space="preserve">ffects of </w:t>
      </w:r>
      <w:r w:rsidR="00E74EE7">
        <w:rPr>
          <w:rFonts w:ascii="Times New Roman" w:hAnsi="Times New Roman"/>
        </w:rPr>
        <w:t>D</w:t>
      </w:r>
      <w:r w:rsidRPr="00C71E80">
        <w:rPr>
          <w:rFonts w:ascii="Times New Roman" w:hAnsi="Times New Roman"/>
        </w:rPr>
        <w:t>elta-9-</w:t>
      </w:r>
      <w:r w:rsidR="00E74EE7">
        <w:rPr>
          <w:rFonts w:ascii="Times New Roman" w:hAnsi="Times New Roman"/>
        </w:rPr>
        <w:t>T</w:t>
      </w:r>
      <w:r w:rsidRPr="00C71E80">
        <w:rPr>
          <w:rFonts w:ascii="Times New Roman" w:hAnsi="Times New Roman"/>
        </w:rPr>
        <w:t xml:space="preserve">etrahydrocannabinol (THC) on </w:t>
      </w:r>
      <w:r w:rsidR="00E74EE7">
        <w:rPr>
          <w:rFonts w:ascii="Times New Roman" w:hAnsi="Times New Roman"/>
        </w:rPr>
        <w:t>I</w:t>
      </w:r>
      <w:r w:rsidRPr="00C71E80">
        <w:rPr>
          <w:rFonts w:ascii="Times New Roman" w:hAnsi="Times New Roman"/>
        </w:rPr>
        <w:t xml:space="preserve">nflammation: A review. Cell Immunol. 352:104111. </w:t>
      </w:r>
    </w:p>
    <w:p w14:paraId="0737C296" w14:textId="3573D5BB" w:rsidR="00263E2C" w:rsidRPr="00C71E80" w:rsidRDefault="00263E2C" w:rsidP="00263E2C">
      <w:pPr>
        <w:pStyle w:val="Bibliography"/>
        <w:rPr>
          <w:rFonts w:ascii="Times New Roman" w:hAnsi="Times New Roman"/>
        </w:rPr>
      </w:pPr>
      <w:r w:rsidRPr="00C71E80">
        <w:rPr>
          <w:rFonts w:ascii="Times New Roman" w:hAnsi="Times New Roman"/>
        </w:rPr>
        <w:t xml:space="preserve">Miller W. 2020. Leveraging </w:t>
      </w:r>
      <w:r w:rsidR="003F1729">
        <w:rPr>
          <w:rFonts w:ascii="Times New Roman" w:hAnsi="Times New Roman"/>
        </w:rPr>
        <w:t>G</w:t>
      </w:r>
      <w:r w:rsidRPr="00C71E80">
        <w:rPr>
          <w:rFonts w:ascii="Times New Roman" w:hAnsi="Times New Roman"/>
        </w:rPr>
        <w:t xml:space="preserve">enetics to </w:t>
      </w:r>
      <w:r w:rsidR="003F1729">
        <w:rPr>
          <w:rFonts w:ascii="Times New Roman" w:hAnsi="Times New Roman"/>
        </w:rPr>
        <w:t>E</w:t>
      </w:r>
      <w:r w:rsidRPr="00C71E80">
        <w:rPr>
          <w:rFonts w:ascii="Times New Roman" w:hAnsi="Times New Roman"/>
        </w:rPr>
        <w:t xml:space="preserve">nhance the </w:t>
      </w:r>
      <w:r w:rsidR="003F1729">
        <w:rPr>
          <w:rFonts w:ascii="Times New Roman" w:hAnsi="Times New Roman"/>
        </w:rPr>
        <w:t>E</w:t>
      </w:r>
      <w:r w:rsidRPr="00C71E80">
        <w:rPr>
          <w:rFonts w:ascii="Times New Roman" w:hAnsi="Times New Roman"/>
        </w:rPr>
        <w:t xml:space="preserve">fficacy of PTSD </w:t>
      </w:r>
      <w:r w:rsidR="003F1729">
        <w:rPr>
          <w:rFonts w:ascii="Times New Roman" w:hAnsi="Times New Roman"/>
        </w:rPr>
        <w:t>P</w:t>
      </w:r>
      <w:r w:rsidRPr="00C71E80">
        <w:rPr>
          <w:rFonts w:ascii="Times New Roman" w:hAnsi="Times New Roman"/>
        </w:rPr>
        <w:t xml:space="preserve">harmacotherapies. </w:t>
      </w:r>
      <w:proofErr w:type="spellStart"/>
      <w:r w:rsidRPr="00C71E80">
        <w:rPr>
          <w:rFonts w:ascii="Times New Roman" w:hAnsi="Times New Roman"/>
        </w:rPr>
        <w:t>Neurosci</w:t>
      </w:r>
      <w:proofErr w:type="spellEnd"/>
      <w:r w:rsidRPr="00C71E80">
        <w:rPr>
          <w:rFonts w:ascii="Times New Roman" w:hAnsi="Times New Roman"/>
        </w:rPr>
        <w:t xml:space="preserve"> Lett. 726:133562. </w:t>
      </w:r>
    </w:p>
    <w:p w14:paraId="0130A79A" w14:textId="5E27D6F6" w:rsidR="00263E2C" w:rsidRDefault="00263E2C" w:rsidP="00263E2C">
      <w:pPr>
        <w:pStyle w:val="Bibliography"/>
        <w:rPr>
          <w:rFonts w:ascii="Times New Roman" w:hAnsi="Times New Roman"/>
        </w:rPr>
      </w:pPr>
      <w:r w:rsidRPr="00C71E80">
        <w:rPr>
          <w:rFonts w:ascii="Times New Roman" w:hAnsi="Times New Roman"/>
        </w:rPr>
        <w:t xml:space="preserve">Miller W, Lin P, Wolf J, Miller R. 2017 Oct. Oxidative Stress, Inflammation, and </w:t>
      </w:r>
      <w:proofErr w:type="spellStart"/>
      <w:r w:rsidRPr="00C71E80">
        <w:rPr>
          <w:rFonts w:ascii="Times New Roman" w:hAnsi="Times New Roman"/>
        </w:rPr>
        <w:t>Neuroprogression</w:t>
      </w:r>
      <w:proofErr w:type="spellEnd"/>
      <w:r w:rsidRPr="00C71E80">
        <w:rPr>
          <w:rFonts w:ascii="Times New Roman" w:hAnsi="Times New Roman"/>
        </w:rPr>
        <w:t xml:space="preserve"> in Chronic PTSD: Harv Rev Psychiatry.:1. </w:t>
      </w:r>
      <w:r w:rsidR="006A3747">
        <w:rPr>
          <w:rFonts w:ascii="Times New Roman" w:hAnsi="Times New Roman"/>
        </w:rPr>
        <w:t>57-69.</w:t>
      </w:r>
    </w:p>
    <w:p w14:paraId="1C923E16" w14:textId="7A662F6E" w:rsidR="00E00B74" w:rsidRDefault="00E00B74" w:rsidP="00E00B74">
      <w:r>
        <w:t xml:space="preserve">Mills L, </w:t>
      </w:r>
      <w:proofErr w:type="spellStart"/>
      <w:r>
        <w:t>Teesson</w:t>
      </w:r>
      <w:proofErr w:type="spellEnd"/>
      <w:r>
        <w:t xml:space="preserve"> M, Ross J, Peters L. 2006. Trauma, PTSD, and </w:t>
      </w:r>
      <w:r>
        <w:t>S</w:t>
      </w:r>
      <w:r>
        <w:t xml:space="preserve">ubstance </w:t>
      </w:r>
      <w:r>
        <w:t>U</w:t>
      </w:r>
      <w:r>
        <w:t xml:space="preserve">se </w:t>
      </w:r>
      <w:r>
        <w:t>D</w:t>
      </w:r>
      <w:r>
        <w:t xml:space="preserve">isorders: </w:t>
      </w:r>
      <w:r>
        <w:t>F</w:t>
      </w:r>
      <w:r>
        <w:t xml:space="preserve">indings from the Australian National Survey of Mental Health and Well-Being. Am J Psychiatry. 163(4):652–658. </w:t>
      </w:r>
    </w:p>
    <w:p w14:paraId="7C3DF1C6" w14:textId="77777777" w:rsidR="00E00B74" w:rsidRPr="00E00B74" w:rsidRDefault="00E00B74" w:rsidP="00E00B74"/>
    <w:p w14:paraId="429A5E68" w14:textId="59710904" w:rsidR="00263E2C" w:rsidRDefault="00263E2C" w:rsidP="00263E2C">
      <w:pPr>
        <w:pStyle w:val="Bibliography"/>
        <w:rPr>
          <w:rFonts w:ascii="Times New Roman" w:hAnsi="Times New Roman"/>
        </w:rPr>
      </w:pPr>
      <w:r w:rsidRPr="00C71E80">
        <w:rPr>
          <w:rFonts w:ascii="Times New Roman" w:hAnsi="Times New Roman"/>
        </w:rPr>
        <w:t xml:space="preserve">Moreira A, </w:t>
      </w:r>
      <w:proofErr w:type="spellStart"/>
      <w:r w:rsidRPr="00C71E80">
        <w:rPr>
          <w:rFonts w:ascii="Times New Roman" w:hAnsi="Times New Roman"/>
        </w:rPr>
        <w:t>Wotjak</w:t>
      </w:r>
      <w:proofErr w:type="spellEnd"/>
      <w:r w:rsidRPr="00C71E80">
        <w:rPr>
          <w:rFonts w:ascii="Times New Roman" w:hAnsi="Times New Roman"/>
        </w:rPr>
        <w:t xml:space="preserve"> T. 2010. Cannabinoids and Anxiety. In: Stein B, </w:t>
      </w:r>
      <w:proofErr w:type="spellStart"/>
      <w:r w:rsidRPr="00C71E80">
        <w:rPr>
          <w:rFonts w:ascii="Times New Roman" w:hAnsi="Times New Roman"/>
        </w:rPr>
        <w:t>Steckler</w:t>
      </w:r>
      <w:proofErr w:type="spellEnd"/>
      <w:r w:rsidRPr="00C71E80">
        <w:rPr>
          <w:rFonts w:ascii="Times New Roman" w:hAnsi="Times New Roman"/>
        </w:rPr>
        <w:t xml:space="preserve"> T, editors. Behavioral Neurobiology of Anxiety and </w:t>
      </w:r>
      <w:r w:rsidR="003F1729">
        <w:rPr>
          <w:rFonts w:ascii="Times New Roman" w:hAnsi="Times New Roman"/>
        </w:rPr>
        <w:t>i</w:t>
      </w:r>
      <w:r w:rsidRPr="00C71E80">
        <w:rPr>
          <w:rFonts w:ascii="Times New Roman" w:hAnsi="Times New Roman"/>
        </w:rPr>
        <w:t xml:space="preserve">ts Treatment. Berlin, Heidelberg: Springer. (Current Topics in Behavioral Neurosciences). </w:t>
      </w:r>
      <w:r w:rsidR="00C36B06">
        <w:rPr>
          <w:rFonts w:ascii="Times New Roman" w:hAnsi="Times New Roman"/>
        </w:rPr>
        <w:t>2(1)</w:t>
      </w:r>
      <w:r w:rsidRPr="00C71E80">
        <w:rPr>
          <w:rFonts w:ascii="Times New Roman" w:hAnsi="Times New Roman"/>
        </w:rPr>
        <w:t xml:space="preserve"> 429–450. </w:t>
      </w:r>
    </w:p>
    <w:p w14:paraId="0C1A0C44" w14:textId="7E86D13D" w:rsidR="00807BFA" w:rsidRDefault="00807BFA" w:rsidP="00807BFA">
      <w:proofErr w:type="spellStart"/>
      <w:r>
        <w:t>Mourya</w:t>
      </w:r>
      <w:proofErr w:type="spellEnd"/>
      <w:r>
        <w:t xml:space="preserve"> M, Mahajan S, Singh P, Jain K. 2009. Effect of </w:t>
      </w:r>
      <w:r>
        <w:t>S</w:t>
      </w:r>
      <w:r>
        <w:t xml:space="preserve">low- and </w:t>
      </w:r>
      <w:r>
        <w:t>F</w:t>
      </w:r>
      <w:r>
        <w:t>ast-</w:t>
      </w:r>
      <w:r>
        <w:t>B</w:t>
      </w:r>
      <w:r>
        <w:t xml:space="preserve">reathing </w:t>
      </w:r>
      <w:r>
        <w:t>E</w:t>
      </w:r>
      <w:r>
        <w:t xml:space="preserve">xercises on </w:t>
      </w:r>
      <w:r>
        <w:t>A</w:t>
      </w:r>
      <w:r>
        <w:t xml:space="preserve">utonomic </w:t>
      </w:r>
      <w:r>
        <w:t>F</w:t>
      </w:r>
      <w:r>
        <w:t xml:space="preserve">unctions in </w:t>
      </w:r>
      <w:r>
        <w:t>P</w:t>
      </w:r>
      <w:r>
        <w:t xml:space="preserve">atients with </w:t>
      </w:r>
      <w:r>
        <w:t>E</w:t>
      </w:r>
      <w:r>
        <w:t xml:space="preserve">ssential </w:t>
      </w:r>
      <w:r>
        <w:t>H</w:t>
      </w:r>
      <w:r>
        <w:t xml:space="preserve">ypertension. J Altern Complement Med. 15(7):711–717. </w:t>
      </w:r>
    </w:p>
    <w:p w14:paraId="1CCD701E" w14:textId="77777777" w:rsidR="00CE04DE" w:rsidRPr="00CE04DE" w:rsidRDefault="00CE04DE" w:rsidP="00CE04DE"/>
    <w:p w14:paraId="37249174" w14:textId="176A826D" w:rsidR="00263E2C" w:rsidRPr="00C71E80" w:rsidRDefault="00263E2C" w:rsidP="00263E2C">
      <w:pPr>
        <w:pStyle w:val="Bibliography"/>
        <w:rPr>
          <w:rFonts w:ascii="Times New Roman" w:hAnsi="Times New Roman"/>
        </w:rPr>
      </w:pPr>
      <w:r w:rsidRPr="00C71E80">
        <w:rPr>
          <w:rFonts w:ascii="Times New Roman" w:hAnsi="Times New Roman"/>
        </w:rPr>
        <w:t xml:space="preserve">Myers B, </w:t>
      </w:r>
      <w:proofErr w:type="spellStart"/>
      <w:r w:rsidRPr="00C71E80">
        <w:rPr>
          <w:rFonts w:ascii="Times New Roman" w:hAnsi="Times New Roman"/>
        </w:rPr>
        <w:t>McKlveen</w:t>
      </w:r>
      <w:proofErr w:type="spellEnd"/>
      <w:r w:rsidRPr="00C71E80">
        <w:rPr>
          <w:rFonts w:ascii="Times New Roman" w:hAnsi="Times New Roman"/>
        </w:rPr>
        <w:t xml:space="preserve"> M, Herman P. 2014. Glucocorticoid </w:t>
      </w:r>
      <w:r w:rsidR="00427470">
        <w:rPr>
          <w:rFonts w:ascii="Times New Roman" w:hAnsi="Times New Roman"/>
        </w:rPr>
        <w:t>A</w:t>
      </w:r>
      <w:r w:rsidRPr="00C71E80">
        <w:rPr>
          <w:rFonts w:ascii="Times New Roman" w:hAnsi="Times New Roman"/>
        </w:rPr>
        <w:t xml:space="preserve">ctions on </w:t>
      </w:r>
      <w:r w:rsidR="00427470">
        <w:rPr>
          <w:rFonts w:ascii="Times New Roman" w:hAnsi="Times New Roman"/>
        </w:rPr>
        <w:t>S</w:t>
      </w:r>
      <w:r w:rsidRPr="00C71E80">
        <w:rPr>
          <w:rFonts w:ascii="Times New Roman" w:hAnsi="Times New Roman"/>
        </w:rPr>
        <w:t xml:space="preserve">ynapses, </w:t>
      </w:r>
      <w:r w:rsidR="00427470">
        <w:rPr>
          <w:rFonts w:ascii="Times New Roman" w:hAnsi="Times New Roman"/>
        </w:rPr>
        <w:t>C</w:t>
      </w:r>
      <w:r w:rsidRPr="00C71E80">
        <w:rPr>
          <w:rFonts w:ascii="Times New Roman" w:hAnsi="Times New Roman"/>
        </w:rPr>
        <w:t xml:space="preserve">ircuits, and </w:t>
      </w:r>
      <w:r w:rsidR="00427470">
        <w:rPr>
          <w:rFonts w:ascii="Times New Roman" w:hAnsi="Times New Roman"/>
        </w:rPr>
        <w:t>B</w:t>
      </w:r>
      <w:r w:rsidRPr="00C71E80">
        <w:rPr>
          <w:rFonts w:ascii="Times New Roman" w:hAnsi="Times New Roman"/>
        </w:rPr>
        <w:t xml:space="preserve">ehavior: Implications for the </w:t>
      </w:r>
      <w:r w:rsidR="00427470">
        <w:rPr>
          <w:rFonts w:ascii="Times New Roman" w:hAnsi="Times New Roman"/>
        </w:rPr>
        <w:t>E</w:t>
      </w:r>
      <w:r w:rsidRPr="00C71E80">
        <w:rPr>
          <w:rFonts w:ascii="Times New Roman" w:hAnsi="Times New Roman"/>
        </w:rPr>
        <w:t xml:space="preserve">nergetics of </w:t>
      </w:r>
      <w:r w:rsidR="00427470">
        <w:rPr>
          <w:rFonts w:ascii="Times New Roman" w:hAnsi="Times New Roman"/>
        </w:rPr>
        <w:t>S</w:t>
      </w:r>
      <w:r w:rsidRPr="00C71E80">
        <w:rPr>
          <w:rFonts w:ascii="Times New Roman" w:hAnsi="Times New Roman"/>
        </w:rPr>
        <w:t xml:space="preserve">tress. Front </w:t>
      </w:r>
      <w:proofErr w:type="spellStart"/>
      <w:r w:rsidRPr="00C71E80">
        <w:rPr>
          <w:rFonts w:ascii="Times New Roman" w:hAnsi="Times New Roman"/>
        </w:rPr>
        <w:t>Neuroendocrinol</w:t>
      </w:r>
      <w:proofErr w:type="spellEnd"/>
      <w:r w:rsidRPr="00C71E80">
        <w:rPr>
          <w:rFonts w:ascii="Times New Roman" w:hAnsi="Times New Roman"/>
        </w:rPr>
        <w:t>. 35(2):180–196. d</w:t>
      </w:r>
    </w:p>
    <w:p w14:paraId="10ECED1B" w14:textId="4888CAAF" w:rsidR="00263E2C" w:rsidRPr="00C71E80" w:rsidRDefault="00263E2C" w:rsidP="00263E2C">
      <w:pPr>
        <w:pStyle w:val="Bibliography"/>
        <w:rPr>
          <w:rFonts w:ascii="Times New Roman" w:hAnsi="Times New Roman"/>
        </w:rPr>
      </w:pPr>
      <w:proofErr w:type="spellStart"/>
      <w:r w:rsidRPr="00C71E80">
        <w:rPr>
          <w:rFonts w:ascii="Times New Roman" w:hAnsi="Times New Roman"/>
        </w:rPr>
        <w:t>Neumeister</w:t>
      </w:r>
      <w:proofErr w:type="spellEnd"/>
      <w:r w:rsidRPr="00C71E80">
        <w:rPr>
          <w:rFonts w:ascii="Times New Roman" w:hAnsi="Times New Roman"/>
        </w:rPr>
        <w:t xml:space="preserve"> A, Seidel J, </w:t>
      </w:r>
      <w:proofErr w:type="spellStart"/>
      <w:r w:rsidRPr="00C71E80">
        <w:rPr>
          <w:rFonts w:ascii="Times New Roman" w:hAnsi="Times New Roman"/>
        </w:rPr>
        <w:t>Ragen</w:t>
      </w:r>
      <w:proofErr w:type="spellEnd"/>
      <w:r w:rsidRPr="00C71E80">
        <w:rPr>
          <w:rFonts w:ascii="Times New Roman" w:hAnsi="Times New Roman"/>
        </w:rPr>
        <w:t xml:space="preserve"> J, </w:t>
      </w:r>
      <w:proofErr w:type="spellStart"/>
      <w:r w:rsidRPr="00C71E80">
        <w:rPr>
          <w:rFonts w:ascii="Times New Roman" w:hAnsi="Times New Roman"/>
        </w:rPr>
        <w:t>Pietrzak</w:t>
      </w:r>
      <w:proofErr w:type="spellEnd"/>
      <w:r w:rsidRPr="00C71E80">
        <w:rPr>
          <w:rFonts w:ascii="Times New Roman" w:hAnsi="Times New Roman"/>
        </w:rPr>
        <w:t xml:space="preserve"> H. 2015. Translational </w:t>
      </w:r>
      <w:r w:rsidR="00427470">
        <w:rPr>
          <w:rFonts w:ascii="Times New Roman" w:hAnsi="Times New Roman"/>
        </w:rPr>
        <w:t>E</w:t>
      </w:r>
      <w:r w:rsidRPr="00C71E80">
        <w:rPr>
          <w:rFonts w:ascii="Times New Roman" w:hAnsi="Times New Roman"/>
        </w:rPr>
        <w:t xml:space="preserve">vidence for a </w:t>
      </w:r>
      <w:r w:rsidR="00427470">
        <w:rPr>
          <w:rFonts w:ascii="Times New Roman" w:hAnsi="Times New Roman"/>
        </w:rPr>
        <w:t>R</w:t>
      </w:r>
      <w:r w:rsidRPr="00C71E80">
        <w:rPr>
          <w:rFonts w:ascii="Times New Roman" w:hAnsi="Times New Roman"/>
        </w:rPr>
        <w:t xml:space="preserve">ole of </w:t>
      </w:r>
      <w:r w:rsidR="00427470">
        <w:rPr>
          <w:rFonts w:ascii="Times New Roman" w:hAnsi="Times New Roman"/>
        </w:rPr>
        <w:t>E</w:t>
      </w:r>
      <w:r w:rsidRPr="00C71E80">
        <w:rPr>
          <w:rFonts w:ascii="Times New Roman" w:hAnsi="Times New Roman"/>
        </w:rPr>
        <w:t xml:space="preserve">ndocannabinoids in the </w:t>
      </w:r>
      <w:r w:rsidR="00427470">
        <w:rPr>
          <w:rFonts w:ascii="Times New Roman" w:hAnsi="Times New Roman"/>
        </w:rPr>
        <w:t>E</w:t>
      </w:r>
      <w:r w:rsidRPr="00C71E80">
        <w:rPr>
          <w:rFonts w:ascii="Times New Roman" w:hAnsi="Times New Roman"/>
        </w:rPr>
        <w:t xml:space="preserve">tiology and </w:t>
      </w:r>
      <w:r w:rsidR="00427470">
        <w:rPr>
          <w:rFonts w:ascii="Times New Roman" w:hAnsi="Times New Roman"/>
        </w:rPr>
        <w:t>T</w:t>
      </w:r>
      <w:r w:rsidRPr="00C71E80">
        <w:rPr>
          <w:rFonts w:ascii="Times New Roman" w:hAnsi="Times New Roman"/>
        </w:rPr>
        <w:t xml:space="preserve">reatment of </w:t>
      </w:r>
      <w:r w:rsidR="00427470">
        <w:rPr>
          <w:rFonts w:ascii="Times New Roman" w:hAnsi="Times New Roman"/>
        </w:rPr>
        <w:t>P</w:t>
      </w:r>
      <w:r w:rsidRPr="00C71E80">
        <w:rPr>
          <w:rFonts w:ascii="Times New Roman" w:hAnsi="Times New Roman"/>
        </w:rPr>
        <w:t>ost</w:t>
      </w:r>
      <w:r w:rsidR="00427470">
        <w:rPr>
          <w:rFonts w:ascii="Times New Roman" w:hAnsi="Times New Roman"/>
        </w:rPr>
        <w:t>-T</w:t>
      </w:r>
      <w:r w:rsidRPr="00C71E80">
        <w:rPr>
          <w:rFonts w:ascii="Times New Roman" w:hAnsi="Times New Roman"/>
        </w:rPr>
        <w:t xml:space="preserve">raumatic </w:t>
      </w:r>
      <w:r w:rsidR="00427470">
        <w:rPr>
          <w:rFonts w:ascii="Times New Roman" w:hAnsi="Times New Roman"/>
        </w:rPr>
        <w:t>S</w:t>
      </w:r>
      <w:r w:rsidRPr="00C71E80">
        <w:rPr>
          <w:rFonts w:ascii="Times New Roman" w:hAnsi="Times New Roman"/>
        </w:rPr>
        <w:t xml:space="preserve">tress </w:t>
      </w:r>
      <w:r w:rsidR="00427470">
        <w:rPr>
          <w:rFonts w:ascii="Times New Roman" w:hAnsi="Times New Roman"/>
        </w:rPr>
        <w:t>D</w:t>
      </w:r>
      <w:r w:rsidRPr="00C71E80">
        <w:rPr>
          <w:rFonts w:ascii="Times New Roman" w:hAnsi="Times New Roman"/>
        </w:rPr>
        <w:t xml:space="preserve">isorder. </w:t>
      </w:r>
      <w:proofErr w:type="spellStart"/>
      <w:r w:rsidRPr="00C71E80">
        <w:rPr>
          <w:rFonts w:ascii="Times New Roman" w:hAnsi="Times New Roman"/>
        </w:rPr>
        <w:t>Psychoneuroendocrinology</w:t>
      </w:r>
      <w:proofErr w:type="spellEnd"/>
      <w:r w:rsidRPr="00C71E80">
        <w:rPr>
          <w:rFonts w:ascii="Times New Roman" w:hAnsi="Times New Roman"/>
        </w:rPr>
        <w:t xml:space="preserve">. 51:577–584. </w:t>
      </w:r>
    </w:p>
    <w:p w14:paraId="6C50CFBD" w14:textId="4A233FC2" w:rsidR="00263E2C" w:rsidRPr="00C71E80" w:rsidRDefault="00263E2C" w:rsidP="00263E2C">
      <w:pPr>
        <w:pStyle w:val="Bibliography"/>
        <w:rPr>
          <w:rFonts w:ascii="Times New Roman" w:hAnsi="Times New Roman"/>
        </w:rPr>
      </w:pPr>
      <w:r w:rsidRPr="00C71E80">
        <w:rPr>
          <w:rFonts w:ascii="Times New Roman" w:hAnsi="Times New Roman"/>
        </w:rPr>
        <w:t xml:space="preserve">Ong I. 2020. Treating Complex Trauma Survivors: A Trauma-Sensitive Yoga (TSY)-Informed Psychotherapeutic Approach. J </w:t>
      </w:r>
      <w:proofErr w:type="spellStart"/>
      <w:r w:rsidRPr="00C71E80">
        <w:rPr>
          <w:rFonts w:ascii="Times New Roman" w:hAnsi="Times New Roman"/>
        </w:rPr>
        <w:t>Creat</w:t>
      </w:r>
      <w:proofErr w:type="spellEnd"/>
      <w:r w:rsidRPr="00C71E80">
        <w:rPr>
          <w:rFonts w:ascii="Times New Roman" w:hAnsi="Times New Roman"/>
        </w:rPr>
        <w:t xml:space="preserve"> </w:t>
      </w:r>
      <w:proofErr w:type="spellStart"/>
      <w:r w:rsidRPr="00C71E80">
        <w:rPr>
          <w:rFonts w:ascii="Times New Roman" w:hAnsi="Times New Roman"/>
        </w:rPr>
        <w:t>Ment</w:t>
      </w:r>
      <w:proofErr w:type="spellEnd"/>
      <w:r w:rsidRPr="00C71E80">
        <w:rPr>
          <w:rFonts w:ascii="Times New Roman" w:hAnsi="Times New Roman"/>
        </w:rPr>
        <w:t xml:space="preserve"> Health. </w:t>
      </w:r>
      <w:r w:rsidR="00285BE9">
        <w:rPr>
          <w:rFonts w:ascii="Times New Roman" w:hAnsi="Times New Roman"/>
        </w:rPr>
        <w:t>1</w:t>
      </w:r>
      <w:r w:rsidRPr="00C71E80">
        <w:rPr>
          <w:rFonts w:ascii="Times New Roman" w:hAnsi="Times New Roman"/>
        </w:rPr>
        <w:t>0(</w:t>
      </w:r>
      <w:r w:rsidR="00285BE9">
        <w:rPr>
          <w:rFonts w:ascii="Times New Roman" w:hAnsi="Times New Roman"/>
        </w:rPr>
        <w:t>1</w:t>
      </w:r>
      <w:r w:rsidRPr="00C71E80">
        <w:rPr>
          <w:rFonts w:ascii="Times New Roman" w:hAnsi="Times New Roman"/>
        </w:rPr>
        <w:t xml:space="preserve">):1–14. </w:t>
      </w:r>
    </w:p>
    <w:p w14:paraId="733E88EF" w14:textId="2A45DCED" w:rsidR="00263E2C" w:rsidRDefault="00263E2C" w:rsidP="00263E2C">
      <w:pPr>
        <w:pStyle w:val="Bibliography"/>
        <w:rPr>
          <w:rFonts w:ascii="Times New Roman" w:hAnsi="Times New Roman"/>
        </w:rPr>
      </w:pPr>
      <w:r w:rsidRPr="00C71E80">
        <w:rPr>
          <w:rFonts w:ascii="Times New Roman" w:hAnsi="Times New Roman"/>
        </w:rPr>
        <w:t xml:space="preserve">Ozer J, Best R, Lipsey L, Weiss S. 2003. Predictors of </w:t>
      </w:r>
      <w:r w:rsidR="008D43F2">
        <w:rPr>
          <w:rFonts w:ascii="Times New Roman" w:hAnsi="Times New Roman"/>
        </w:rPr>
        <w:t>P</w:t>
      </w:r>
      <w:r w:rsidRPr="00C71E80">
        <w:rPr>
          <w:rFonts w:ascii="Times New Roman" w:hAnsi="Times New Roman"/>
        </w:rPr>
        <w:t>ost</w:t>
      </w:r>
      <w:r w:rsidR="008D43F2">
        <w:rPr>
          <w:rFonts w:ascii="Times New Roman" w:hAnsi="Times New Roman"/>
        </w:rPr>
        <w:t>-T</w:t>
      </w:r>
      <w:r w:rsidRPr="00C71E80">
        <w:rPr>
          <w:rFonts w:ascii="Times New Roman" w:hAnsi="Times New Roman"/>
        </w:rPr>
        <w:t xml:space="preserve">raumatic </w:t>
      </w:r>
      <w:r w:rsidR="008D43F2">
        <w:rPr>
          <w:rFonts w:ascii="Times New Roman" w:hAnsi="Times New Roman"/>
        </w:rPr>
        <w:t>S</w:t>
      </w:r>
      <w:r w:rsidRPr="00C71E80">
        <w:rPr>
          <w:rFonts w:ascii="Times New Roman" w:hAnsi="Times New Roman"/>
        </w:rPr>
        <w:t xml:space="preserve">tress </w:t>
      </w:r>
      <w:r w:rsidR="008D43F2">
        <w:rPr>
          <w:rFonts w:ascii="Times New Roman" w:hAnsi="Times New Roman"/>
        </w:rPr>
        <w:t>D</w:t>
      </w:r>
      <w:r w:rsidRPr="00C71E80">
        <w:rPr>
          <w:rFonts w:ascii="Times New Roman" w:hAnsi="Times New Roman"/>
        </w:rPr>
        <w:t xml:space="preserve">isorder and </w:t>
      </w:r>
      <w:r w:rsidR="008D43F2">
        <w:rPr>
          <w:rFonts w:ascii="Times New Roman" w:hAnsi="Times New Roman"/>
        </w:rPr>
        <w:t>S</w:t>
      </w:r>
      <w:r w:rsidRPr="00C71E80">
        <w:rPr>
          <w:rFonts w:ascii="Times New Roman" w:hAnsi="Times New Roman"/>
        </w:rPr>
        <w:t xml:space="preserve">ymptoms in </w:t>
      </w:r>
      <w:r w:rsidR="008D43F2">
        <w:rPr>
          <w:rFonts w:ascii="Times New Roman" w:hAnsi="Times New Roman"/>
        </w:rPr>
        <w:t>A</w:t>
      </w:r>
      <w:r w:rsidRPr="00C71E80">
        <w:rPr>
          <w:rFonts w:ascii="Times New Roman" w:hAnsi="Times New Roman"/>
        </w:rPr>
        <w:t xml:space="preserve">dults: a </w:t>
      </w:r>
      <w:r w:rsidR="008D43F2">
        <w:rPr>
          <w:rFonts w:ascii="Times New Roman" w:hAnsi="Times New Roman"/>
        </w:rPr>
        <w:t>M</w:t>
      </w:r>
      <w:r w:rsidRPr="00C71E80">
        <w:rPr>
          <w:rFonts w:ascii="Times New Roman" w:hAnsi="Times New Roman"/>
        </w:rPr>
        <w:t>eta-</w:t>
      </w:r>
      <w:r w:rsidR="008D43F2">
        <w:rPr>
          <w:rFonts w:ascii="Times New Roman" w:hAnsi="Times New Roman"/>
        </w:rPr>
        <w:t>A</w:t>
      </w:r>
      <w:r w:rsidRPr="00C71E80">
        <w:rPr>
          <w:rFonts w:ascii="Times New Roman" w:hAnsi="Times New Roman"/>
        </w:rPr>
        <w:t xml:space="preserve">nalysis. Psychol Bull. 129(1):52–73. </w:t>
      </w:r>
    </w:p>
    <w:p w14:paraId="7B058059" w14:textId="67109BC6" w:rsidR="00577D0A" w:rsidRDefault="00577D0A" w:rsidP="00577D0A">
      <w:r>
        <w:lastRenderedPageBreak/>
        <w:t xml:space="preserve">Pagano S, Coniglio M, </w:t>
      </w:r>
      <w:proofErr w:type="spellStart"/>
      <w:r>
        <w:t>Valenti</w:t>
      </w:r>
      <w:proofErr w:type="spellEnd"/>
      <w:r>
        <w:t xml:space="preserve"> C, Federici I, Lombardo G, </w:t>
      </w:r>
      <w:proofErr w:type="spellStart"/>
      <w:r>
        <w:t>Cianetti</w:t>
      </w:r>
      <w:proofErr w:type="spellEnd"/>
      <w:r>
        <w:t xml:space="preserve"> S, </w:t>
      </w:r>
      <w:proofErr w:type="spellStart"/>
      <w:r>
        <w:t>Marinucci</w:t>
      </w:r>
      <w:proofErr w:type="spellEnd"/>
      <w:r>
        <w:t xml:space="preserve"> L. 2020. Biological </w:t>
      </w:r>
      <w:r>
        <w:t>E</w:t>
      </w:r>
      <w:r>
        <w:t xml:space="preserve">ffects of Cannabidiol on </w:t>
      </w:r>
      <w:r>
        <w:t>N</w:t>
      </w:r>
      <w:r>
        <w:t xml:space="preserve">ormal </w:t>
      </w:r>
      <w:r>
        <w:t>H</w:t>
      </w:r>
      <w:r>
        <w:t xml:space="preserve">uman </w:t>
      </w:r>
      <w:r>
        <w:t>H</w:t>
      </w:r>
      <w:r>
        <w:t xml:space="preserve">ealthy </w:t>
      </w:r>
      <w:r>
        <w:t>C</w:t>
      </w:r>
      <w:r>
        <w:t xml:space="preserve">ell </w:t>
      </w:r>
      <w:r>
        <w:t>P</w:t>
      </w:r>
      <w:r>
        <w:t xml:space="preserve">opulations: Systematic </w:t>
      </w:r>
      <w:r>
        <w:t>R</w:t>
      </w:r>
      <w:r>
        <w:t xml:space="preserve">eview of the </w:t>
      </w:r>
      <w:r>
        <w:t>L</w:t>
      </w:r>
      <w:r>
        <w:t xml:space="preserve">iterature. Biomedicine &amp; Pharmacotherapy. 132:110728. </w:t>
      </w:r>
    </w:p>
    <w:p w14:paraId="55393DF2" w14:textId="77777777" w:rsidR="00577D0A" w:rsidRPr="00577D0A" w:rsidRDefault="00577D0A" w:rsidP="00577D0A"/>
    <w:p w14:paraId="41181BA8" w14:textId="5372E73A" w:rsidR="00263E2C" w:rsidRPr="00C71E80" w:rsidRDefault="00263E2C" w:rsidP="00263E2C">
      <w:pPr>
        <w:pStyle w:val="Bibliography"/>
        <w:rPr>
          <w:rFonts w:ascii="Times New Roman" w:hAnsi="Times New Roman"/>
        </w:rPr>
      </w:pPr>
      <w:r w:rsidRPr="00C71E80">
        <w:rPr>
          <w:rFonts w:ascii="Times New Roman" w:hAnsi="Times New Roman"/>
        </w:rPr>
        <w:t xml:space="preserve">Park H, Poo M. 2013. </w:t>
      </w:r>
      <w:proofErr w:type="spellStart"/>
      <w:r w:rsidRPr="00C71E80">
        <w:rPr>
          <w:rFonts w:ascii="Times New Roman" w:hAnsi="Times New Roman"/>
        </w:rPr>
        <w:t>Neurotrophin</w:t>
      </w:r>
      <w:proofErr w:type="spellEnd"/>
      <w:r w:rsidRPr="00C71E80">
        <w:rPr>
          <w:rFonts w:ascii="Times New Roman" w:hAnsi="Times New Roman"/>
        </w:rPr>
        <w:t xml:space="preserve"> </w:t>
      </w:r>
      <w:r w:rsidR="008D43F2">
        <w:rPr>
          <w:rFonts w:ascii="Times New Roman" w:hAnsi="Times New Roman"/>
        </w:rPr>
        <w:t>R</w:t>
      </w:r>
      <w:r w:rsidRPr="00C71E80">
        <w:rPr>
          <w:rFonts w:ascii="Times New Roman" w:hAnsi="Times New Roman"/>
        </w:rPr>
        <w:t xml:space="preserve">egulation of </w:t>
      </w:r>
      <w:r w:rsidR="008D43F2">
        <w:rPr>
          <w:rFonts w:ascii="Times New Roman" w:hAnsi="Times New Roman"/>
        </w:rPr>
        <w:t>N</w:t>
      </w:r>
      <w:r w:rsidRPr="00C71E80">
        <w:rPr>
          <w:rFonts w:ascii="Times New Roman" w:hAnsi="Times New Roman"/>
        </w:rPr>
        <w:t xml:space="preserve">eural </w:t>
      </w:r>
      <w:r w:rsidR="008D43F2">
        <w:rPr>
          <w:rFonts w:ascii="Times New Roman" w:hAnsi="Times New Roman"/>
        </w:rPr>
        <w:t>C</w:t>
      </w:r>
      <w:r w:rsidRPr="00C71E80">
        <w:rPr>
          <w:rFonts w:ascii="Times New Roman" w:hAnsi="Times New Roman"/>
        </w:rPr>
        <w:t xml:space="preserve">ircuit </w:t>
      </w:r>
      <w:r w:rsidR="008D43F2">
        <w:rPr>
          <w:rFonts w:ascii="Times New Roman" w:hAnsi="Times New Roman"/>
        </w:rPr>
        <w:t>De</w:t>
      </w:r>
      <w:r w:rsidRPr="00C71E80">
        <w:rPr>
          <w:rFonts w:ascii="Times New Roman" w:hAnsi="Times New Roman"/>
        </w:rPr>
        <w:t xml:space="preserve">velopment and </w:t>
      </w:r>
      <w:r w:rsidR="008D43F2">
        <w:rPr>
          <w:rFonts w:ascii="Times New Roman" w:hAnsi="Times New Roman"/>
        </w:rPr>
        <w:t>F</w:t>
      </w:r>
      <w:r w:rsidRPr="00C71E80">
        <w:rPr>
          <w:rFonts w:ascii="Times New Roman" w:hAnsi="Times New Roman"/>
        </w:rPr>
        <w:t xml:space="preserve">unction. Nat Rev </w:t>
      </w:r>
      <w:proofErr w:type="spellStart"/>
      <w:r w:rsidRPr="00C71E80">
        <w:rPr>
          <w:rFonts w:ascii="Times New Roman" w:hAnsi="Times New Roman"/>
        </w:rPr>
        <w:t>Neurosci</w:t>
      </w:r>
      <w:proofErr w:type="spellEnd"/>
      <w:r w:rsidRPr="00C71E80">
        <w:rPr>
          <w:rFonts w:ascii="Times New Roman" w:hAnsi="Times New Roman"/>
        </w:rPr>
        <w:t xml:space="preserve">. 14(1):7–23. </w:t>
      </w:r>
    </w:p>
    <w:p w14:paraId="54E9C5FC" w14:textId="2DBE97AE" w:rsidR="00263E2C" w:rsidRPr="00C71E80" w:rsidRDefault="00263E2C" w:rsidP="00263E2C">
      <w:pPr>
        <w:pStyle w:val="Bibliography"/>
        <w:rPr>
          <w:rFonts w:ascii="Times New Roman" w:hAnsi="Times New Roman"/>
        </w:rPr>
      </w:pPr>
      <w:r w:rsidRPr="00C71E80">
        <w:rPr>
          <w:rFonts w:ascii="Times New Roman" w:hAnsi="Times New Roman"/>
        </w:rPr>
        <w:t>Pham-</w:t>
      </w:r>
      <w:proofErr w:type="spellStart"/>
      <w:r w:rsidRPr="00C71E80">
        <w:rPr>
          <w:rFonts w:ascii="Times New Roman" w:hAnsi="Times New Roman"/>
        </w:rPr>
        <w:t>Huy</w:t>
      </w:r>
      <w:proofErr w:type="spellEnd"/>
      <w:r w:rsidRPr="00C71E80">
        <w:rPr>
          <w:rFonts w:ascii="Times New Roman" w:hAnsi="Times New Roman"/>
        </w:rPr>
        <w:t xml:space="preserve"> A, He H, Pham-</w:t>
      </w:r>
      <w:proofErr w:type="spellStart"/>
      <w:r w:rsidRPr="00C71E80">
        <w:rPr>
          <w:rFonts w:ascii="Times New Roman" w:hAnsi="Times New Roman"/>
        </w:rPr>
        <w:t>Huy</w:t>
      </w:r>
      <w:proofErr w:type="spellEnd"/>
      <w:r w:rsidRPr="00C71E80">
        <w:rPr>
          <w:rFonts w:ascii="Times New Roman" w:hAnsi="Times New Roman"/>
        </w:rPr>
        <w:t xml:space="preserve"> C. 2008. Free Radicals, Antioxidants in Disease and Health. Int J Biomed Sci IJBS. 4(2):89–96.</w:t>
      </w:r>
    </w:p>
    <w:p w14:paraId="275D391A" w14:textId="049F896D" w:rsidR="00263E2C" w:rsidRPr="00C71E80" w:rsidRDefault="00263E2C" w:rsidP="00263E2C">
      <w:pPr>
        <w:pStyle w:val="Bibliography"/>
        <w:rPr>
          <w:rFonts w:ascii="Times New Roman" w:hAnsi="Times New Roman"/>
        </w:rPr>
      </w:pPr>
      <w:proofErr w:type="spellStart"/>
      <w:r w:rsidRPr="00C71E80">
        <w:rPr>
          <w:rFonts w:ascii="Times New Roman" w:hAnsi="Times New Roman"/>
        </w:rPr>
        <w:t>Pietrzak</w:t>
      </w:r>
      <w:proofErr w:type="spellEnd"/>
      <w:r w:rsidRPr="00C71E80">
        <w:rPr>
          <w:rFonts w:ascii="Times New Roman" w:hAnsi="Times New Roman"/>
        </w:rPr>
        <w:t xml:space="preserve"> H, Goldstein B, Southwick M, Grant F. 2011. Prevalence and Axis </w:t>
      </w:r>
      <w:r w:rsidR="008D43F2">
        <w:rPr>
          <w:rFonts w:ascii="Times New Roman" w:hAnsi="Times New Roman"/>
        </w:rPr>
        <w:t>in</w:t>
      </w:r>
      <w:r w:rsidRPr="00C71E80">
        <w:rPr>
          <w:rFonts w:ascii="Times New Roman" w:hAnsi="Times New Roman"/>
        </w:rPr>
        <w:t xml:space="preserve"> </w:t>
      </w:r>
      <w:r w:rsidR="008D43F2">
        <w:rPr>
          <w:rFonts w:ascii="Times New Roman" w:hAnsi="Times New Roman"/>
        </w:rPr>
        <w:t>C</w:t>
      </w:r>
      <w:r w:rsidRPr="00C71E80">
        <w:rPr>
          <w:rFonts w:ascii="Times New Roman" w:hAnsi="Times New Roman"/>
        </w:rPr>
        <w:t xml:space="preserve">omorbidity of </w:t>
      </w:r>
      <w:r w:rsidR="008D43F2">
        <w:rPr>
          <w:rFonts w:ascii="Times New Roman" w:hAnsi="Times New Roman"/>
        </w:rPr>
        <w:t>F</w:t>
      </w:r>
      <w:r w:rsidRPr="00C71E80">
        <w:rPr>
          <w:rFonts w:ascii="Times New Roman" w:hAnsi="Times New Roman"/>
        </w:rPr>
        <w:t xml:space="preserve">ull and </w:t>
      </w:r>
      <w:r w:rsidR="007C56CB">
        <w:rPr>
          <w:rFonts w:ascii="Times New Roman" w:hAnsi="Times New Roman"/>
        </w:rPr>
        <w:t>P</w:t>
      </w:r>
      <w:r w:rsidRPr="00C71E80">
        <w:rPr>
          <w:rFonts w:ascii="Times New Roman" w:hAnsi="Times New Roman"/>
        </w:rPr>
        <w:t xml:space="preserve">artial </w:t>
      </w:r>
      <w:r w:rsidR="007C56CB">
        <w:rPr>
          <w:rFonts w:ascii="Times New Roman" w:hAnsi="Times New Roman"/>
        </w:rPr>
        <w:t>P</w:t>
      </w:r>
      <w:r w:rsidRPr="00C71E80">
        <w:rPr>
          <w:rFonts w:ascii="Times New Roman" w:hAnsi="Times New Roman"/>
        </w:rPr>
        <w:t>ost</w:t>
      </w:r>
      <w:r w:rsidR="007C56CB">
        <w:rPr>
          <w:rFonts w:ascii="Times New Roman" w:hAnsi="Times New Roman"/>
        </w:rPr>
        <w:t>-T</w:t>
      </w:r>
      <w:r w:rsidRPr="00C71E80">
        <w:rPr>
          <w:rFonts w:ascii="Times New Roman" w:hAnsi="Times New Roman"/>
        </w:rPr>
        <w:t xml:space="preserve">raumatic </w:t>
      </w:r>
      <w:r w:rsidR="007C56CB">
        <w:rPr>
          <w:rFonts w:ascii="Times New Roman" w:hAnsi="Times New Roman"/>
        </w:rPr>
        <w:t>S</w:t>
      </w:r>
      <w:r w:rsidRPr="00C71E80">
        <w:rPr>
          <w:rFonts w:ascii="Times New Roman" w:hAnsi="Times New Roman"/>
        </w:rPr>
        <w:t xml:space="preserve">tress </w:t>
      </w:r>
      <w:r w:rsidR="007C56CB">
        <w:rPr>
          <w:rFonts w:ascii="Times New Roman" w:hAnsi="Times New Roman"/>
        </w:rPr>
        <w:t>D</w:t>
      </w:r>
      <w:r w:rsidRPr="00C71E80">
        <w:rPr>
          <w:rFonts w:ascii="Times New Roman" w:hAnsi="Times New Roman"/>
        </w:rPr>
        <w:t xml:space="preserve">isorder in the United States: </w:t>
      </w:r>
      <w:r w:rsidR="007C56CB">
        <w:rPr>
          <w:rFonts w:ascii="Times New Roman" w:hAnsi="Times New Roman"/>
        </w:rPr>
        <w:t>R</w:t>
      </w:r>
      <w:r w:rsidRPr="00C71E80">
        <w:rPr>
          <w:rFonts w:ascii="Times New Roman" w:hAnsi="Times New Roman"/>
        </w:rPr>
        <w:t xml:space="preserve">esults from Wave 2 of the National Epidemiologic Survey on Alcohol and Related Conditions. J Anxiety </w:t>
      </w:r>
      <w:proofErr w:type="spellStart"/>
      <w:r w:rsidRPr="00C71E80">
        <w:rPr>
          <w:rFonts w:ascii="Times New Roman" w:hAnsi="Times New Roman"/>
        </w:rPr>
        <w:t>Disord</w:t>
      </w:r>
      <w:proofErr w:type="spellEnd"/>
      <w:r w:rsidRPr="00C71E80">
        <w:rPr>
          <w:rFonts w:ascii="Times New Roman" w:hAnsi="Times New Roman"/>
        </w:rPr>
        <w:t xml:space="preserve">. 25(3):456–465. </w:t>
      </w:r>
    </w:p>
    <w:p w14:paraId="3E646B25" w14:textId="3E04F3AE" w:rsidR="00263E2C" w:rsidRPr="00C71E80" w:rsidRDefault="00263E2C" w:rsidP="00263E2C">
      <w:pPr>
        <w:pStyle w:val="Bibliography"/>
        <w:rPr>
          <w:rFonts w:ascii="Times New Roman" w:hAnsi="Times New Roman"/>
        </w:rPr>
      </w:pPr>
      <w:proofErr w:type="spellStart"/>
      <w:r w:rsidRPr="00C71E80">
        <w:rPr>
          <w:rFonts w:ascii="Times New Roman" w:hAnsi="Times New Roman"/>
        </w:rPr>
        <w:t>Preskorn</w:t>
      </w:r>
      <w:proofErr w:type="spellEnd"/>
      <w:r w:rsidRPr="00C71E80">
        <w:rPr>
          <w:rFonts w:ascii="Times New Roman" w:hAnsi="Times New Roman"/>
        </w:rPr>
        <w:t xml:space="preserve"> H, Ross R, </w:t>
      </w:r>
      <w:proofErr w:type="spellStart"/>
      <w:r w:rsidRPr="00C71E80">
        <w:rPr>
          <w:rFonts w:ascii="Times New Roman" w:hAnsi="Times New Roman"/>
        </w:rPr>
        <w:t>Stanga</w:t>
      </w:r>
      <w:proofErr w:type="spellEnd"/>
      <w:r w:rsidRPr="00C71E80">
        <w:rPr>
          <w:rFonts w:ascii="Times New Roman" w:hAnsi="Times New Roman"/>
        </w:rPr>
        <w:t xml:space="preserve"> Y</w:t>
      </w:r>
      <w:r w:rsidR="0049203A">
        <w:rPr>
          <w:rFonts w:ascii="Times New Roman" w:hAnsi="Times New Roman"/>
        </w:rPr>
        <w:t>.</w:t>
      </w:r>
      <w:r w:rsidRPr="00C71E80">
        <w:rPr>
          <w:rFonts w:ascii="Times New Roman" w:hAnsi="Times New Roman"/>
        </w:rPr>
        <w:t xml:space="preserve"> 2004. Selective Serotonin Reuptake Inhibitors. In: </w:t>
      </w:r>
      <w:proofErr w:type="spellStart"/>
      <w:r w:rsidRPr="00C71E80">
        <w:rPr>
          <w:rFonts w:ascii="Times New Roman" w:hAnsi="Times New Roman"/>
        </w:rPr>
        <w:t>Preskorn</w:t>
      </w:r>
      <w:proofErr w:type="spellEnd"/>
      <w:r w:rsidRPr="00C71E80">
        <w:rPr>
          <w:rFonts w:ascii="Times New Roman" w:hAnsi="Times New Roman"/>
        </w:rPr>
        <w:t xml:space="preserve"> Sheldon H., </w:t>
      </w:r>
      <w:proofErr w:type="spellStart"/>
      <w:r w:rsidRPr="00C71E80">
        <w:rPr>
          <w:rFonts w:ascii="Times New Roman" w:hAnsi="Times New Roman"/>
        </w:rPr>
        <w:t>Feighner</w:t>
      </w:r>
      <w:proofErr w:type="spellEnd"/>
      <w:r w:rsidRPr="00C71E80">
        <w:rPr>
          <w:rFonts w:ascii="Times New Roman" w:hAnsi="Times New Roman"/>
        </w:rPr>
        <w:t xml:space="preserve"> JP, </w:t>
      </w:r>
      <w:proofErr w:type="spellStart"/>
      <w:r w:rsidRPr="00C71E80">
        <w:rPr>
          <w:rFonts w:ascii="Times New Roman" w:hAnsi="Times New Roman"/>
        </w:rPr>
        <w:t>Stanga</w:t>
      </w:r>
      <w:proofErr w:type="spellEnd"/>
      <w:r w:rsidRPr="00C71E80">
        <w:rPr>
          <w:rFonts w:ascii="Times New Roman" w:hAnsi="Times New Roman"/>
        </w:rPr>
        <w:t xml:space="preserve"> Christina Y., Ross Ruth, editors. Antidepressants: Past, Present and Future. Berlin, Heidelberg: Springer. (Handbook of Experimental Pharmacology). p</w:t>
      </w:r>
      <w:r w:rsidR="001F0C5F">
        <w:rPr>
          <w:rFonts w:ascii="Times New Roman" w:hAnsi="Times New Roman"/>
        </w:rPr>
        <w:t>p</w:t>
      </w:r>
      <w:r w:rsidRPr="00C71E80">
        <w:rPr>
          <w:rFonts w:ascii="Times New Roman" w:hAnsi="Times New Roman"/>
        </w:rPr>
        <w:t xml:space="preserve">. 241–262. </w:t>
      </w:r>
    </w:p>
    <w:p w14:paraId="2D6F35F8" w14:textId="23C75B73" w:rsidR="00263E2C" w:rsidRPr="00C71E80" w:rsidRDefault="00263E2C" w:rsidP="00263E2C">
      <w:pPr>
        <w:pStyle w:val="Bibliography"/>
        <w:rPr>
          <w:rFonts w:ascii="Times New Roman" w:hAnsi="Times New Roman"/>
        </w:rPr>
      </w:pPr>
      <w:proofErr w:type="spellStart"/>
      <w:r w:rsidRPr="00C71E80">
        <w:rPr>
          <w:rFonts w:ascii="Times New Roman" w:hAnsi="Times New Roman"/>
        </w:rPr>
        <w:t>Puetz</w:t>
      </w:r>
      <w:proofErr w:type="spellEnd"/>
      <w:r w:rsidRPr="00C71E80">
        <w:rPr>
          <w:rFonts w:ascii="Times New Roman" w:hAnsi="Times New Roman"/>
        </w:rPr>
        <w:t xml:space="preserve"> W, </w:t>
      </w:r>
      <w:proofErr w:type="spellStart"/>
      <w:r w:rsidRPr="00C71E80">
        <w:rPr>
          <w:rFonts w:ascii="Times New Roman" w:hAnsi="Times New Roman"/>
        </w:rPr>
        <w:t>Youngstedt</w:t>
      </w:r>
      <w:proofErr w:type="spellEnd"/>
      <w:r w:rsidRPr="00C71E80">
        <w:rPr>
          <w:rFonts w:ascii="Times New Roman" w:hAnsi="Times New Roman"/>
        </w:rPr>
        <w:t xml:space="preserve"> D, Herring P. 2015. Effects of Pharmacotherapy on Combat-Related PTSD, Anxiety, and Depression: A Systematic Review and Meta-Regression Analysis. PLOS ONE. 10(5):e0126529. </w:t>
      </w:r>
    </w:p>
    <w:p w14:paraId="1E764888" w14:textId="118D50A2" w:rsidR="00263E2C" w:rsidRPr="00C71E80" w:rsidRDefault="00263E2C" w:rsidP="00263E2C">
      <w:pPr>
        <w:pStyle w:val="Bibliography"/>
        <w:rPr>
          <w:rFonts w:ascii="Times New Roman" w:hAnsi="Times New Roman"/>
        </w:rPr>
      </w:pPr>
      <w:r w:rsidRPr="00C71E80">
        <w:rPr>
          <w:rFonts w:ascii="Times New Roman" w:hAnsi="Times New Roman"/>
        </w:rPr>
        <w:t xml:space="preserve">Ravindran N, Stein B. 2009. Pharmacotherapy of PTSD: Premises, Principles, and Priorities. Brain Res. 1293:24–39. </w:t>
      </w:r>
    </w:p>
    <w:p w14:paraId="3AC9504A" w14:textId="0043B228" w:rsidR="00263E2C" w:rsidRPr="00C71E80" w:rsidRDefault="00263E2C" w:rsidP="00263E2C">
      <w:pPr>
        <w:pStyle w:val="Bibliography"/>
        <w:rPr>
          <w:rFonts w:ascii="Times New Roman" w:hAnsi="Times New Roman"/>
        </w:rPr>
      </w:pPr>
      <w:proofErr w:type="spellStart"/>
      <w:r w:rsidRPr="00C71E80">
        <w:rPr>
          <w:rFonts w:ascii="Times New Roman" w:hAnsi="Times New Roman"/>
        </w:rPr>
        <w:t>Reger</w:t>
      </w:r>
      <w:proofErr w:type="spellEnd"/>
      <w:r w:rsidRPr="00C71E80">
        <w:rPr>
          <w:rFonts w:ascii="Times New Roman" w:hAnsi="Times New Roman"/>
        </w:rPr>
        <w:t xml:space="preserve"> M, Holloway M, Candy C, </w:t>
      </w:r>
      <w:proofErr w:type="spellStart"/>
      <w:r w:rsidRPr="00C71E80">
        <w:rPr>
          <w:rFonts w:ascii="Times New Roman" w:hAnsi="Times New Roman"/>
        </w:rPr>
        <w:t>Rothbaum</w:t>
      </w:r>
      <w:proofErr w:type="spellEnd"/>
      <w:r w:rsidRPr="00C71E80">
        <w:rPr>
          <w:rFonts w:ascii="Times New Roman" w:hAnsi="Times New Roman"/>
        </w:rPr>
        <w:t xml:space="preserve"> O, </w:t>
      </w:r>
      <w:proofErr w:type="spellStart"/>
      <w:r w:rsidRPr="00C71E80">
        <w:rPr>
          <w:rFonts w:ascii="Times New Roman" w:hAnsi="Times New Roman"/>
        </w:rPr>
        <w:t>Difede</w:t>
      </w:r>
      <w:proofErr w:type="spellEnd"/>
      <w:r w:rsidRPr="00C71E80">
        <w:rPr>
          <w:rFonts w:ascii="Times New Roman" w:hAnsi="Times New Roman"/>
        </w:rPr>
        <w:t xml:space="preserve"> J, Rizzo A, </w:t>
      </w:r>
      <w:proofErr w:type="spellStart"/>
      <w:r w:rsidRPr="00C71E80">
        <w:rPr>
          <w:rFonts w:ascii="Times New Roman" w:hAnsi="Times New Roman"/>
        </w:rPr>
        <w:t>Gahm</w:t>
      </w:r>
      <w:proofErr w:type="spellEnd"/>
      <w:r w:rsidRPr="00C71E80">
        <w:rPr>
          <w:rFonts w:ascii="Times New Roman" w:hAnsi="Times New Roman"/>
        </w:rPr>
        <w:t xml:space="preserve"> A. 2011. Effectiveness of </w:t>
      </w:r>
      <w:r w:rsidR="00F217EC">
        <w:rPr>
          <w:rFonts w:ascii="Times New Roman" w:hAnsi="Times New Roman"/>
        </w:rPr>
        <w:t>Vi</w:t>
      </w:r>
      <w:r w:rsidRPr="00C71E80">
        <w:rPr>
          <w:rFonts w:ascii="Times New Roman" w:hAnsi="Times New Roman"/>
        </w:rPr>
        <w:t xml:space="preserve">rtual </w:t>
      </w:r>
      <w:r w:rsidR="00F217EC">
        <w:rPr>
          <w:rFonts w:ascii="Times New Roman" w:hAnsi="Times New Roman"/>
        </w:rPr>
        <w:t>R</w:t>
      </w:r>
      <w:r w:rsidRPr="00C71E80">
        <w:rPr>
          <w:rFonts w:ascii="Times New Roman" w:hAnsi="Times New Roman"/>
        </w:rPr>
        <w:t xml:space="preserve">eality </w:t>
      </w:r>
      <w:r w:rsidR="00F217EC">
        <w:rPr>
          <w:rFonts w:ascii="Times New Roman" w:hAnsi="Times New Roman"/>
        </w:rPr>
        <w:t>E</w:t>
      </w:r>
      <w:r w:rsidRPr="00C71E80">
        <w:rPr>
          <w:rFonts w:ascii="Times New Roman" w:hAnsi="Times New Roman"/>
        </w:rPr>
        <w:t xml:space="preserve">xposure </w:t>
      </w:r>
      <w:r w:rsidR="00F217EC">
        <w:rPr>
          <w:rFonts w:ascii="Times New Roman" w:hAnsi="Times New Roman"/>
        </w:rPr>
        <w:t>T</w:t>
      </w:r>
      <w:r w:rsidRPr="00C71E80">
        <w:rPr>
          <w:rFonts w:ascii="Times New Roman" w:hAnsi="Times New Roman"/>
        </w:rPr>
        <w:t xml:space="preserve">herapy for </w:t>
      </w:r>
      <w:r w:rsidR="00F217EC">
        <w:rPr>
          <w:rFonts w:ascii="Times New Roman" w:hAnsi="Times New Roman"/>
        </w:rPr>
        <w:t>A</w:t>
      </w:r>
      <w:r w:rsidRPr="00C71E80">
        <w:rPr>
          <w:rFonts w:ascii="Times New Roman" w:hAnsi="Times New Roman"/>
        </w:rPr>
        <w:t xml:space="preserve">ctive </w:t>
      </w:r>
      <w:r w:rsidR="00F217EC">
        <w:rPr>
          <w:rFonts w:ascii="Times New Roman" w:hAnsi="Times New Roman"/>
        </w:rPr>
        <w:t>D</w:t>
      </w:r>
      <w:r w:rsidRPr="00C71E80">
        <w:rPr>
          <w:rFonts w:ascii="Times New Roman" w:hAnsi="Times New Roman"/>
        </w:rPr>
        <w:t xml:space="preserve">uty </w:t>
      </w:r>
      <w:r w:rsidR="00F217EC">
        <w:rPr>
          <w:rFonts w:ascii="Times New Roman" w:hAnsi="Times New Roman"/>
        </w:rPr>
        <w:t>S</w:t>
      </w:r>
      <w:r w:rsidRPr="00C71E80">
        <w:rPr>
          <w:rFonts w:ascii="Times New Roman" w:hAnsi="Times New Roman"/>
        </w:rPr>
        <w:t xml:space="preserve">oldiers in a </w:t>
      </w:r>
      <w:r w:rsidR="00F217EC">
        <w:rPr>
          <w:rFonts w:ascii="Times New Roman" w:hAnsi="Times New Roman"/>
        </w:rPr>
        <w:t>M</w:t>
      </w:r>
      <w:r w:rsidRPr="00C71E80">
        <w:rPr>
          <w:rFonts w:ascii="Times New Roman" w:hAnsi="Times New Roman"/>
        </w:rPr>
        <w:t xml:space="preserve">ilitary </w:t>
      </w:r>
      <w:r w:rsidR="00F217EC">
        <w:rPr>
          <w:rFonts w:ascii="Times New Roman" w:hAnsi="Times New Roman"/>
        </w:rPr>
        <w:t>M</w:t>
      </w:r>
      <w:r w:rsidRPr="00C71E80">
        <w:rPr>
          <w:rFonts w:ascii="Times New Roman" w:hAnsi="Times New Roman"/>
        </w:rPr>
        <w:t xml:space="preserve">ental </w:t>
      </w:r>
      <w:r w:rsidR="00F217EC">
        <w:rPr>
          <w:rFonts w:ascii="Times New Roman" w:hAnsi="Times New Roman"/>
        </w:rPr>
        <w:t>H</w:t>
      </w:r>
      <w:r w:rsidRPr="00C71E80">
        <w:rPr>
          <w:rFonts w:ascii="Times New Roman" w:hAnsi="Times New Roman"/>
        </w:rPr>
        <w:t xml:space="preserve">ealth </w:t>
      </w:r>
      <w:r w:rsidR="00F217EC">
        <w:rPr>
          <w:rFonts w:ascii="Times New Roman" w:hAnsi="Times New Roman"/>
        </w:rPr>
        <w:t>C</w:t>
      </w:r>
      <w:r w:rsidRPr="00C71E80">
        <w:rPr>
          <w:rFonts w:ascii="Times New Roman" w:hAnsi="Times New Roman"/>
        </w:rPr>
        <w:t xml:space="preserve">linic. J Trauma Stress. 24(1):93–96. </w:t>
      </w:r>
    </w:p>
    <w:p w14:paraId="5819FA47" w14:textId="36C5DF86" w:rsidR="00263E2C" w:rsidRPr="00C71E80" w:rsidRDefault="00263E2C" w:rsidP="00263E2C">
      <w:pPr>
        <w:pStyle w:val="Bibliography"/>
        <w:rPr>
          <w:rFonts w:ascii="Times New Roman" w:hAnsi="Times New Roman"/>
        </w:rPr>
      </w:pPr>
      <w:r w:rsidRPr="00C71E80">
        <w:rPr>
          <w:rFonts w:ascii="Times New Roman" w:hAnsi="Times New Roman"/>
        </w:rPr>
        <w:t xml:space="preserve">Richardson K, </w:t>
      </w:r>
      <w:proofErr w:type="spellStart"/>
      <w:r w:rsidRPr="00C71E80">
        <w:rPr>
          <w:rFonts w:ascii="Times New Roman" w:hAnsi="Times New Roman"/>
        </w:rPr>
        <w:t>Frueh</w:t>
      </w:r>
      <w:proofErr w:type="spellEnd"/>
      <w:r w:rsidRPr="00C71E80">
        <w:rPr>
          <w:rFonts w:ascii="Times New Roman" w:hAnsi="Times New Roman"/>
        </w:rPr>
        <w:t xml:space="preserve"> C, </w:t>
      </w:r>
      <w:proofErr w:type="spellStart"/>
      <w:r w:rsidRPr="00C71E80">
        <w:rPr>
          <w:rFonts w:ascii="Times New Roman" w:hAnsi="Times New Roman"/>
        </w:rPr>
        <w:t>Acierno</w:t>
      </w:r>
      <w:proofErr w:type="spellEnd"/>
      <w:r w:rsidRPr="00C71E80">
        <w:rPr>
          <w:rFonts w:ascii="Times New Roman" w:hAnsi="Times New Roman"/>
        </w:rPr>
        <w:t xml:space="preserve"> R. 2010. Prevalence Estimates of Combat-Related Post-Traumatic Stress Disorder: Critical Review. Aust N Z J Psychiatry. 44(1):4–19. </w:t>
      </w:r>
    </w:p>
    <w:p w14:paraId="77A355FF" w14:textId="5DEB3EC9" w:rsidR="00263E2C" w:rsidRPr="00C71E80" w:rsidRDefault="00263E2C" w:rsidP="00263E2C">
      <w:pPr>
        <w:pStyle w:val="Bibliography"/>
        <w:rPr>
          <w:rFonts w:ascii="Times New Roman" w:hAnsi="Times New Roman"/>
        </w:rPr>
      </w:pPr>
      <w:r w:rsidRPr="00C71E80">
        <w:rPr>
          <w:rFonts w:ascii="Times New Roman" w:hAnsi="Times New Roman"/>
        </w:rPr>
        <w:t xml:space="preserve">Rizzo A, John B, Newman B, Williams J, </w:t>
      </w:r>
      <w:proofErr w:type="spellStart"/>
      <w:r w:rsidRPr="00C71E80">
        <w:rPr>
          <w:rFonts w:ascii="Times New Roman" w:hAnsi="Times New Roman"/>
        </w:rPr>
        <w:t>Hartholt</w:t>
      </w:r>
      <w:proofErr w:type="spellEnd"/>
      <w:r w:rsidRPr="00C71E80">
        <w:rPr>
          <w:rFonts w:ascii="Times New Roman" w:hAnsi="Times New Roman"/>
        </w:rPr>
        <w:t xml:space="preserve"> A, </w:t>
      </w:r>
      <w:proofErr w:type="spellStart"/>
      <w:r w:rsidRPr="00C71E80">
        <w:rPr>
          <w:rFonts w:ascii="Times New Roman" w:hAnsi="Times New Roman"/>
        </w:rPr>
        <w:t>Lethin</w:t>
      </w:r>
      <w:proofErr w:type="spellEnd"/>
      <w:r w:rsidRPr="00C71E80">
        <w:rPr>
          <w:rFonts w:ascii="Times New Roman" w:hAnsi="Times New Roman"/>
        </w:rPr>
        <w:t xml:space="preserve"> C, Buckwalter G. 2013. Virtual Reality as a Tool for Delivering PTSD Exposure Therapy and Stress Resilience Training. Mil </w:t>
      </w:r>
      <w:proofErr w:type="spellStart"/>
      <w:r w:rsidRPr="00C71E80">
        <w:rPr>
          <w:rFonts w:ascii="Times New Roman" w:hAnsi="Times New Roman"/>
        </w:rPr>
        <w:t>Behav</w:t>
      </w:r>
      <w:proofErr w:type="spellEnd"/>
      <w:r w:rsidRPr="00C71E80">
        <w:rPr>
          <w:rFonts w:ascii="Times New Roman" w:hAnsi="Times New Roman"/>
        </w:rPr>
        <w:t xml:space="preserve"> Health. 1(1):52–58. </w:t>
      </w:r>
    </w:p>
    <w:p w14:paraId="50272088" w14:textId="24D480F5" w:rsidR="00263E2C" w:rsidRPr="00C71E80" w:rsidRDefault="00263E2C" w:rsidP="00263E2C">
      <w:pPr>
        <w:pStyle w:val="Bibliography"/>
        <w:rPr>
          <w:rFonts w:ascii="Times New Roman" w:hAnsi="Times New Roman"/>
        </w:rPr>
      </w:pPr>
      <w:r w:rsidRPr="00C71E80">
        <w:rPr>
          <w:rFonts w:ascii="Times New Roman" w:hAnsi="Times New Roman"/>
        </w:rPr>
        <w:t xml:space="preserve">Rizzo A, </w:t>
      </w:r>
      <w:proofErr w:type="spellStart"/>
      <w:r w:rsidRPr="00C71E80">
        <w:rPr>
          <w:rFonts w:ascii="Times New Roman" w:hAnsi="Times New Roman"/>
        </w:rPr>
        <w:t>Reger</w:t>
      </w:r>
      <w:proofErr w:type="spellEnd"/>
      <w:r w:rsidRPr="00C71E80">
        <w:rPr>
          <w:rFonts w:ascii="Times New Roman" w:hAnsi="Times New Roman"/>
        </w:rPr>
        <w:t xml:space="preserve"> G, </w:t>
      </w:r>
      <w:proofErr w:type="spellStart"/>
      <w:r w:rsidRPr="00C71E80">
        <w:rPr>
          <w:rFonts w:ascii="Times New Roman" w:hAnsi="Times New Roman"/>
        </w:rPr>
        <w:t>Gahm</w:t>
      </w:r>
      <w:proofErr w:type="spellEnd"/>
      <w:r w:rsidRPr="00C71E80">
        <w:rPr>
          <w:rFonts w:ascii="Times New Roman" w:hAnsi="Times New Roman"/>
        </w:rPr>
        <w:t xml:space="preserve"> G, </w:t>
      </w:r>
      <w:proofErr w:type="spellStart"/>
      <w:r w:rsidRPr="00C71E80">
        <w:rPr>
          <w:rFonts w:ascii="Times New Roman" w:hAnsi="Times New Roman"/>
        </w:rPr>
        <w:t>Difede</w:t>
      </w:r>
      <w:proofErr w:type="spellEnd"/>
      <w:r w:rsidRPr="00C71E80">
        <w:rPr>
          <w:rFonts w:ascii="Times New Roman" w:hAnsi="Times New Roman"/>
        </w:rPr>
        <w:t xml:space="preserve"> J, </w:t>
      </w:r>
      <w:proofErr w:type="spellStart"/>
      <w:r w:rsidRPr="00C71E80">
        <w:rPr>
          <w:rFonts w:ascii="Times New Roman" w:hAnsi="Times New Roman"/>
        </w:rPr>
        <w:t>Rothbaum</w:t>
      </w:r>
      <w:proofErr w:type="spellEnd"/>
      <w:r w:rsidRPr="00C71E80">
        <w:rPr>
          <w:rFonts w:ascii="Times New Roman" w:hAnsi="Times New Roman"/>
        </w:rPr>
        <w:t xml:space="preserve"> O. 2009. Virtual Reality Exposure Therapy for Combat-Related PTSD. In: LeDoux JE, Keane T, Shiromani P, editors. Post-Traumatic Stress Disorder: Basic Science and Clinical Practice. Totowa, NJ: Humana Press. p. 375–399. </w:t>
      </w:r>
    </w:p>
    <w:p w14:paraId="0817D5DB" w14:textId="6376B72C" w:rsidR="00263E2C" w:rsidRDefault="00263E2C" w:rsidP="00263E2C">
      <w:pPr>
        <w:pStyle w:val="Bibliography"/>
        <w:rPr>
          <w:rFonts w:ascii="Times New Roman" w:hAnsi="Times New Roman"/>
        </w:rPr>
      </w:pPr>
      <w:proofErr w:type="spellStart"/>
      <w:r w:rsidRPr="00C71E80">
        <w:rPr>
          <w:rFonts w:ascii="Times New Roman" w:hAnsi="Times New Roman"/>
        </w:rPr>
        <w:t>Rothbaum</w:t>
      </w:r>
      <w:proofErr w:type="spellEnd"/>
      <w:r w:rsidRPr="00C71E80">
        <w:rPr>
          <w:rFonts w:ascii="Times New Roman" w:hAnsi="Times New Roman"/>
        </w:rPr>
        <w:t xml:space="preserve"> O, Hodges L, Alarcon R, Ready D, Shahar F, </w:t>
      </w:r>
      <w:proofErr w:type="spellStart"/>
      <w:r w:rsidRPr="00C71E80">
        <w:rPr>
          <w:rFonts w:ascii="Times New Roman" w:hAnsi="Times New Roman"/>
        </w:rPr>
        <w:t>Graap</w:t>
      </w:r>
      <w:proofErr w:type="spellEnd"/>
      <w:r w:rsidRPr="00C71E80">
        <w:rPr>
          <w:rFonts w:ascii="Times New Roman" w:hAnsi="Times New Roman"/>
        </w:rPr>
        <w:t xml:space="preserve"> K, Pair J, Hebert P, </w:t>
      </w:r>
      <w:proofErr w:type="spellStart"/>
      <w:r w:rsidRPr="00C71E80">
        <w:rPr>
          <w:rFonts w:ascii="Times New Roman" w:hAnsi="Times New Roman"/>
        </w:rPr>
        <w:t>Gotz</w:t>
      </w:r>
      <w:proofErr w:type="spellEnd"/>
      <w:r w:rsidRPr="00C71E80">
        <w:rPr>
          <w:rFonts w:ascii="Times New Roman" w:hAnsi="Times New Roman"/>
        </w:rPr>
        <w:t xml:space="preserve"> D, Wills B, et al. 1999. Virtual </w:t>
      </w:r>
      <w:r w:rsidR="00170999">
        <w:rPr>
          <w:rFonts w:ascii="Times New Roman" w:hAnsi="Times New Roman"/>
        </w:rPr>
        <w:t>R</w:t>
      </w:r>
      <w:r w:rsidRPr="00C71E80">
        <w:rPr>
          <w:rFonts w:ascii="Times New Roman" w:hAnsi="Times New Roman"/>
        </w:rPr>
        <w:t xml:space="preserve">eality </w:t>
      </w:r>
      <w:r w:rsidR="00170999">
        <w:rPr>
          <w:rFonts w:ascii="Times New Roman" w:hAnsi="Times New Roman"/>
        </w:rPr>
        <w:t>E</w:t>
      </w:r>
      <w:r w:rsidRPr="00C71E80">
        <w:rPr>
          <w:rFonts w:ascii="Times New Roman" w:hAnsi="Times New Roman"/>
        </w:rPr>
        <w:t xml:space="preserve">xposure </w:t>
      </w:r>
      <w:r w:rsidR="00170999">
        <w:rPr>
          <w:rFonts w:ascii="Times New Roman" w:hAnsi="Times New Roman"/>
        </w:rPr>
        <w:t>T</w:t>
      </w:r>
      <w:r w:rsidRPr="00C71E80">
        <w:rPr>
          <w:rFonts w:ascii="Times New Roman" w:hAnsi="Times New Roman"/>
        </w:rPr>
        <w:t xml:space="preserve">herapy for PTSD Vietnam </w:t>
      </w:r>
      <w:r w:rsidR="00170999">
        <w:rPr>
          <w:rFonts w:ascii="Times New Roman" w:hAnsi="Times New Roman"/>
        </w:rPr>
        <w:t>V</w:t>
      </w:r>
      <w:r w:rsidRPr="00C71E80">
        <w:rPr>
          <w:rFonts w:ascii="Times New Roman" w:hAnsi="Times New Roman"/>
        </w:rPr>
        <w:t xml:space="preserve">eterans: A </w:t>
      </w:r>
      <w:r w:rsidR="00170999">
        <w:rPr>
          <w:rFonts w:ascii="Times New Roman" w:hAnsi="Times New Roman"/>
        </w:rPr>
        <w:t>C</w:t>
      </w:r>
      <w:r w:rsidRPr="00C71E80">
        <w:rPr>
          <w:rFonts w:ascii="Times New Roman" w:hAnsi="Times New Roman"/>
        </w:rPr>
        <w:t xml:space="preserve">ase </w:t>
      </w:r>
      <w:r w:rsidR="00170999">
        <w:rPr>
          <w:rFonts w:ascii="Times New Roman" w:hAnsi="Times New Roman"/>
        </w:rPr>
        <w:t>S</w:t>
      </w:r>
      <w:r w:rsidRPr="00C71E80">
        <w:rPr>
          <w:rFonts w:ascii="Times New Roman" w:hAnsi="Times New Roman"/>
        </w:rPr>
        <w:t xml:space="preserve">tudy. J Trauma Stress. 12(2):263–271. </w:t>
      </w:r>
    </w:p>
    <w:p w14:paraId="394329A0" w14:textId="19A8A86C" w:rsidR="00693F69" w:rsidRDefault="00693F69" w:rsidP="00693F69">
      <w:r>
        <w:t xml:space="preserve">Sánchez-Villegas A, Cabrera-Suárez B, </w:t>
      </w:r>
      <w:proofErr w:type="spellStart"/>
      <w:r>
        <w:t>Molero</w:t>
      </w:r>
      <w:proofErr w:type="spellEnd"/>
      <w:r>
        <w:t xml:space="preserve"> P, González-Pinto A, </w:t>
      </w:r>
      <w:proofErr w:type="spellStart"/>
      <w:r>
        <w:t>Chiclana-Actis</w:t>
      </w:r>
      <w:proofErr w:type="spellEnd"/>
      <w:r>
        <w:t xml:space="preserve"> C, Cabrera C, </w:t>
      </w:r>
      <w:proofErr w:type="spellStart"/>
      <w:r>
        <w:t>Lahortiga</w:t>
      </w:r>
      <w:proofErr w:type="spellEnd"/>
      <w:r>
        <w:t xml:space="preserve">-Ramos F, </w:t>
      </w:r>
      <w:proofErr w:type="spellStart"/>
      <w:r>
        <w:t>Florido</w:t>
      </w:r>
      <w:proofErr w:type="spellEnd"/>
      <w:r>
        <w:t xml:space="preserve">-Rodríguez M, Vega-Pérez P, Vega-Pérez R, et al. 2019. </w:t>
      </w:r>
      <w:r>
        <w:lastRenderedPageBreak/>
        <w:t xml:space="preserve">Preventing the </w:t>
      </w:r>
      <w:r w:rsidR="00A21016">
        <w:t>R</w:t>
      </w:r>
      <w:r>
        <w:t xml:space="preserve">ecurrence of </w:t>
      </w:r>
      <w:r w:rsidR="00A21016">
        <w:t>D</w:t>
      </w:r>
      <w:r>
        <w:t xml:space="preserve">epression with a Mediterranean </w:t>
      </w:r>
      <w:r w:rsidR="00A21016">
        <w:t>D</w:t>
      </w:r>
      <w:r>
        <w:t xml:space="preserve">iet </w:t>
      </w:r>
      <w:r w:rsidR="00A21016">
        <w:t>S</w:t>
      </w:r>
      <w:r>
        <w:t xml:space="preserve">upplemented with </w:t>
      </w:r>
      <w:r w:rsidR="00A21016">
        <w:t>E</w:t>
      </w:r>
      <w:r>
        <w:t>xtra-</w:t>
      </w:r>
      <w:r w:rsidR="00A21016">
        <w:t>V</w:t>
      </w:r>
      <w:r>
        <w:t xml:space="preserve">irgin </w:t>
      </w:r>
      <w:r w:rsidR="00A21016">
        <w:t>O</w:t>
      </w:r>
      <w:r>
        <w:t xml:space="preserve">live </w:t>
      </w:r>
      <w:r w:rsidR="00A21016">
        <w:t>O</w:t>
      </w:r>
      <w:r>
        <w:t xml:space="preserve">il. The PREDI-DEP </w:t>
      </w:r>
      <w:r w:rsidR="003D4565">
        <w:t>T</w:t>
      </w:r>
      <w:r>
        <w:t xml:space="preserve">rial: </w:t>
      </w:r>
      <w:r w:rsidR="003D4565">
        <w:t>S</w:t>
      </w:r>
      <w:r>
        <w:t xml:space="preserve">tudy </w:t>
      </w:r>
      <w:r w:rsidR="003D4565">
        <w:t>P</w:t>
      </w:r>
      <w:r>
        <w:t xml:space="preserve">rotocol. BMC Psychiatry. 19(1):63. </w:t>
      </w:r>
    </w:p>
    <w:p w14:paraId="5C5DF6A3" w14:textId="1BCBBB63" w:rsidR="00693F69" w:rsidRDefault="00693F69" w:rsidP="00693F69"/>
    <w:p w14:paraId="71E07537" w14:textId="77777777" w:rsidR="00693F69" w:rsidRPr="00693F69" w:rsidRDefault="00693F69" w:rsidP="00693F69"/>
    <w:p w14:paraId="1573DADF" w14:textId="7A715BBB" w:rsidR="00263E2C" w:rsidRPr="00C71E80" w:rsidRDefault="00263E2C" w:rsidP="00263E2C">
      <w:pPr>
        <w:pStyle w:val="Bibliography"/>
        <w:rPr>
          <w:rFonts w:ascii="Times New Roman" w:hAnsi="Times New Roman"/>
        </w:rPr>
      </w:pPr>
      <w:proofErr w:type="spellStart"/>
      <w:r w:rsidRPr="00C71E80">
        <w:rPr>
          <w:rFonts w:ascii="Times New Roman" w:hAnsi="Times New Roman"/>
        </w:rPr>
        <w:t>Schönke</w:t>
      </w:r>
      <w:proofErr w:type="spellEnd"/>
      <w:r w:rsidRPr="00C71E80">
        <w:rPr>
          <w:rFonts w:ascii="Times New Roman" w:hAnsi="Times New Roman"/>
        </w:rPr>
        <w:t xml:space="preserve"> M, Martinez-Tellez B, </w:t>
      </w:r>
      <w:proofErr w:type="spellStart"/>
      <w:r w:rsidRPr="00C71E80">
        <w:rPr>
          <w:rFonts w:ascii="Times New Roman" w:hAnsi="Times New Roman"/>
        </w:rPr>
        <w:t>Rensen</w:t>
      </w:r>
      <w:proofErr w:type="spellEnd"/>
      <w:r w:rsidRPr="00C71E80">
        <w:rPr>
          <w:rFonts w:ascii="Times New Roman" w:hAnsi="Times New Roman"/>
        </w:rPr>
        <w:t xml:space="preserve"> C. 2020. Role of the </w:t>
      </w:r>
      <w:r w:rsidR="00170999">
        <w:rPr>
          <w:rFonts w:ascii="Times New Roman" w:hAnsi="Times New Roman"/>
        </w:rPr>
        <w:t>E</w:t>
      </w:r>
      <w:r w:rsidRPr="00C71E80">
        <w:rPr>
          <w:rFonts w:ascii="Times New Roman" w:hAnsi="Times New Roman"/>
        </w:rPr>
        <w:t xml:space="preserve">ndocannabinoid </w:t>
      </w:r>
      <w:r w:rsidR="00170999">
        <w:rPr>
          <w:rFonts w:ascii="Times New Roman" w:hAnsi="Times New Roman"/>
        </w:rPr>
        <w:t>S</w:t>
      </w:r>
      <w:r w:rsidRPr="00C71E80">
        <w:rPr>
          <w:rFonts w:ascii="Times New Roman" w:hAnsi="Times New Roman"/>
        </w:rPr>
        <w:t xml:space="preserve">ystem in the </w:t>
      </w:r>
      <w:r w:rsidR="00170999">
        <w:rPr>
          <w:rFonts w:ascii="Times New Roman" w:hAnsi="Times New Roman"/>
        </w:rPr>
        <w:t>R</w:t>
      </w:r>
      <w:r w:rsidRPr="00C71E80">
        <w:rPr>
          <w:rFonts w:ascii="Times New Roman" w:hAnsi="Times New Roman"/>
        </w:rPr>
        <w:t xml:space="preserve">egulation of the </w:t>
      </w:r>
      <w:r w:rsidR="00170999">
        <w:rPr>
          <w:rFonts w:ascii="Times New Roman" w:hAnsi="Times New Roman"/>
        </w:rPr>
        <w:t>S</w:t>
      </w:r>
      <w:r w:rsidRPr="00C71E80">
        <w:rPr>
          <w:rFonts w:ascii="Times New Roman" w:hAnsi="Times New Roman"/>
        </w:rPr>
        <w:t xml:space="preserve">keletal </w:t>
      </w:r>
      <w:r w:rsidR="00170999">
        <w:rPr>
          <w:rFonts w:ascii="Times New Roman" w:hAnsi="Times New Roman"/>
        </w:rPr>
        <w:t>M</w:t>
      </w:r>
      <w:r w:rsidRPr="00C71E80">
        <w:rPr>
          <w:rFonts w:ascii="Times New Roman" w:hAnsi="Times New Roman"/>
        </w:rPr>
        <w:t xml:space="preserve">uscle </w:t>
      </w:r>
      <w:r w:rsidR="00170999">
        <w:rPr>
          <w:rFonts w:ascii="Times New Roman" w:hAnsi="Times New Roman"/>
        </w:rPr>
        <w:t>R</w:t>
      </w:r>
      <w:r w:rsidRPr="00C71E80">
        <w:rPr>
          <w:rFonts w:ascii="Times New Roman" w:hAnsi="Times New Roman"/>
        </w:rPr>
        <w:t xml:space="preserve">esponse to </w:t>
      </w:r>
      <w:r w:rsidR="00170999">
        <w:rPr>
          <w:rFonts w:ascii="Times New Roman" w:hAnsi="Times New Roman"/>
        </w:rPr>
        <w:t>E</w:t>
      </w:r>
      <w:r w:rsidRPr="00C71E80">
        <w:rPr>
          <w:rFonts w:ascii="Times New Roman" w:hAnsi="Times New Roman"/>
        </w:rPr>
        <w:t xml:space="preserve">xercise. </w:t>
      </w:r>
      <w:proofErr w:type="spellStart"/>
      <w:r w:rsidRPr="00C71E80">
        <w:rPr>
          <w:rFonts w:ascii="Times New Roman" w:hAnsi="Times New Roman"/>
        </w:rPr>
        <w:t>Curr</w:t>
      </w:r>
      <w:proofErr w:type="spellEnd"/>
      <w:r w:rsidRPr="00C71E80">
        <w:rPr>
          <w:rFonts w:ascii="Times New Roman" w:hAnsi="Times New Roman"/>
        </w:rPr>
        <w:t xml:space="preserve"> </w:t>
      </w:r>
      <w:proofErr w:type="spellStart"/>
      <w:r w:rsidRPr="00C71E80">
        <w:rPr>
          <w:rFonts w:ascii="Times New Roman" w:hAnsi="Times New Roman"/>
        </w:rPr>
        <w:t>Opin</w:t>
      </w:r>
      <w:proofErr w:type="spellEnd"/>
      <w:r w:rsidRPr="00C71E80">
        <w:rPr>
          <w:rFonts w:ascii="Times New Roman" w:hAnsi="Times New Roman"/>
        </w:rPr>
        <w:t xml:space="preserve"> </w:t>
      </w:r>
      <w:proofErr w:type="spellStart"/>
      <w:r w:rsidRPr="00C71E80">
        <w:rPr>
          <w:rFonts w:ascii="Times New Roman" w:hAnsi="Times New Roman"/>
        </w:rPr>
        <w:t>Pharmacol</w:t>
      </w:r>
      <w:proofErr w:type="spellEnd"/>
      <w:r w:rsidRPr="00C71E80">
        <w:rPr>
          <w:rFonts w:ascii="Times New Roman" w:hAnsi="Times New Roman"/>
        </w:rPr>
        <w:t xml:space="preserve">. 52:52–60. </w:t>
      </w:r>
    </w:p>
    <w:p w14:paraId="18A06C37" w14:textId="44D69673" w:rsidR="00263E2C" w:rsidRPr="00C71E80" w:rsidRDefault="00263E2C" w:rsidP="00263E2C">
      <w:pPr>
        <w:pStyle w:val="Bibliography"/>
        <w:rPr>
          <w:rFonts w:ascii="Times New Roman" w:hAnsi="Times New Roman"/>
        </w:rPr>
      </w:pPr>
      <w:r w:rsidRPr="00C71E80">
        <w:rPr>
          <w:rFonts w:ascii="Times New Roman" w:hAnsi="Times New Roman"/>
        </w:rPr>
        <w:t xml:space="preserve">Smith M, Vale W. 2006. The </w:t>
      </w:r>
      <w:r w:rsidR="00170999">
        <w:rPr>
          <w:rFonts w:ascii="Times New Roman" w:hAnsi="Times New Roman"/>
        </w:rPr>
        <w:t>R</w:t>
      </w:r>
      <w:r w:rsidRPr="00C71E80">
        <w:rPr>
          <w:rFonts w:ascii="Times New Roman" w:hAnsi="Times New Roman"/>
        </w:rPr>
        <w:t xml:space="preserve">ole of the </w:t>
      </w:r>
      <w:r w:rsidR="00170999">
        <w:rPr>
          <w:rFonts w:ascii="Times New Roman" w:hAnsi="Times New Roman"/>
        </w:rPr>
        <w:t>H</w:t>
      </w:r>
      <w:r w:rsidRPr="00C71E80">
        <w:rPr>
          <w:rFonts w:ascii="Times New Roman" w:hAnsi="Times New Roman"/>
        </w:rPr>
        <w:t>ypothalamic-</w:t>
      </w:r>
      <w:r w:rsidR="00170999">
        <w:rPr>
          <w:rFonts w:ascii="Times New Roman" w:hAnsi="Times New Roman"/>
        </w:rPr>
        <w:t>P</w:t>
      </w:r>
      <w:r w:rsidRPr="00C71E80">
        <w:rPr>
          <w:rFonts w:ascii="Times New Roman" w:hAnsi="Times New Roman"/>
        </w:rPr>
        <w:t>ituitary-</w:t>
      </w:r>
      <w:r w:rsidR="00170999">
        <w:rPr>
          <w:rFonts w:ascii="Times New Roman" w:hAnsi="Times New Roman"/>
        </w:rPr>
        <w:t>A</w:t>
      </w:r>
      <w:r w:rsidRPr="00C71E80">
        <w:rPr>
          <w:rFonts w:ascii="Times New Roman" w:hAnsi="Times New Roman"/>
        </w:rPr>
        <w:t xml:space="preserve">drenal </w:t>
      </w:r>
      <w:r w:rsidR="00170999">
        <w:rPr>
          <w:rFonts w:ascii="Times New Roman" w:hAnsi="Times New Roman"/>
        </w:rPr>
        <w:t>A</w:t>
      </w:r>
      <w:r w:rsidRPr="00C71E80">
        <w:rPr>
          <w:rFonts w:ascii="Times New Roman" w:hAnsi="Times New Roman"/>
        </w:rPr>
        <w:t xml:space="preserve">xis in </w:t>
      </w:r>
      <w:r w:rsidR="00170999">
        <w:rPr>
          <w:rFonts w:ascii="Times New Roman" w:hAnsi="Times New Roman"/>
        </w:rPr>
        <w:t>N</w:t>
      </w:r>
      <w:r w:rsidRPr="00C71E80">
        <w:rPr>
          <w:rFonts w:ascii="Times New Roman" w:hAnsi="Times New Roman"/>
        </w:rPr>
        <w:t xml:space="preserve">euroendocrine </w:t>
      </w:r>
      <w:r w:rsidR="00170999">
        <w:rPr>
          <w:rFonts w:ascii="Times New Roman" w:hAnsi="Times New Roman"/>
        </w:rPr>
        <w:t>R</w:t>
      </w:r>
      <w:r w:rsidRPr="00C71E80">
        <w:rPr>
          <w:rFonts w:ascii="Times New Roman" w:hAnsi="Times New Roman"/>
        </w:rPr>
        <w:t xml:space="preserve">esponses to </w:t>
      </w:r>
      <w:r w:rsidR="00170999">
        <w:rPr>
          <w:rFonts w:ascii="Times New Roman" w:hAnsi="Times New Roman"/>
        </w:rPr>
        <w:t>S</w:t>
      </w:r>
      <w:r w:rsidRPr="00C71E80">
        <w:rPr>
          <w:rFonts w:ascii="Times New Roman" w:hAnsi="Times New Roman"/>
        </w:rPr>
        <w:t xml:space="preserve">tress. Dialogues Clin </w:t>
      </w:r>
      <w:proofErr w:type="spellStart"/>
      <w:r w:rsidRPr="00C71E80">
        <w:rPr>
          <w:rFonts w:ascii="Times New Roman" w:hAnsi="Times New Roman"/>
        </w:rPr>
        <w:t>Neurosci</w:t>
      </w:r>
      <w:proofErr w:type="spellEnd"/>
      <w:r w:rsidRPr="00C71E80">
        <w:rPr>
          <w:rFonts w:ascii="Times New Roman" w:hAnsi="Times New Roman"/>
        </w:rPr>
        <w:t xml:space="preserve">. 8(4):383. </w:t>
      </w:r>
    </w:p>
    <w:p w14:paraId="5D642D3B" w14:textId="2C093268" w:rsidR="00263E2C" w:rsidRPr="00C71E80" w:rsidRDefault="00263E2C" w:rsidP="00263E2C">
      <w:pPr>
        <w:pStyle w:val="Bibliography"/>
        <w:rPr>
          <w:rFonts w:ascii="Times New Roman" w:hAnsi="Times New Roman"/>
        </w:rPr>
      </w:pPr>
      <w:r w:rsidRPr="00C71E80">
        <w:rPr>
          <w:rFonts w:ascii="Times New Roman" w:hAnsi="Times New Roman"/>
        </w:rPr>
        <w:t xml:space="preserve">Souza P, </w:t>
      </w:r>
      <w:proofErr w:type="spellStart"/>
      <w:r w:rsidRPr="00C71E80">
        <w:rPr>
          <w:rFonts w:ascii="Times New Roman" w:hAnsi="Times New Roman"/>
        </w:rPr>
        <w:t>Gambeta</w:t>
      </w:r>
      <w:proofErr w:type="spellEnd"/>
      <w:r w:rsidRPr="00C71E80">
        <w:rPr>
          <w:rFonts w:ascii="Times New Roman" w:hAnsi="Times New Roman"/>
        </w:rPr>
        <w:t xml:space="preserve"> E, Stern J, </w:t>
      </w:r>
      <w:proofErr w:type="spellStart"/>
      <w:r w:rsidRPr="00C71E80">
        <w:rPr>
          <w:rFonts w:ascii="Times New Roman" w:hAnsi="Times New Roman"/>
        </w:rPr>
        <w:t>Zanoveli</w:t>
      </w:r>
      <w:proofErr w:type="spellEnd"/>
      <w:r w:rsidRPr="00C71E80">
        <w:rPr>
          <w:rFonts w:ascii="Times New Roman" w:hAnsi="Times New Roman"/>
        </w:rPr>
        <w:t xml:space="preserve"> M. 2019. Post</w:t>
      </w:r>
      <w:r w:rsidR="00170999">
        <w:rPr>
          <w:rFonts w:ascii="Times New Roman" w:hAnsi="Times New Roman"/>
        </w:rPr>
        <w:t>-T</w:t>
      </w:r>
      <w:r w:rsidRPr="00C71E80">
        <w:rPr>
          <w:rFonts w:ascii="Times New Roman" w:hAnsi="Times New Roman"/>
        </w:rPr>
        <w:t xml:space="preserve">raumatic </w:t>
      </w:r>
      <w:r w:rsidR="00170999">
        <w:rPr>
          <w:rFonts w:ascii="Times New Roman" w:hAnsi="Times New Roman"/>
        </w:rPr>
        <w:t>S</w:t>
      </w:r>
      <w:r w:rsidRPr="00C71E80">
        <w:rPr>
          <w:rFonts w:ascii="Times New Roman" w:hAnsi="Times New Roman"/>
        </w:rPr>
        <w:t xml:space="preserve">tress </w:t>
      </w:r>
      <w:r w:rsidR="00170999">
        <w:rPr>
          <w:rFonts w:ascii="Times New Roman" w:hAnsi="Times New Roman"/>
        </w:rPr>
        <w:t>D</w:t>
      </w:r>
      <w:r w:rsidRPr="00C71E80">
        <w:rPr>
          <w:rFonts w:ascii="Times New Roman" w:hAnsi="Times New Roman"/>
        </w:rPr>
        <w:t>isorder-</w:t>
      </w:r>
      <w:r w:rsidR="00B86549">
        <w:rPr>
          <w:rFonts w:ascii="Times New Roman" w:hAnsi="Times New Roman"/>
        </w:rPr>
        <w:t>T</w:t>
      </w:r>
      <w:r w:rsidRPr="00C71E80">
        <w:rPr>
          <w:rFonts w:ascii="Times New Roman" w:hAnsi="Times New Roman"/>
        </w:rPr>
        <w:t xml:space="preserve">ype </w:t>
      </w:r>
      <w:r w:rsidR="00B86549">
        <w:rPr>
          <w:rFonts w:ascii="Times New Roman" w:hAnsi="Times New Roman"/>
        </w:rPr>
        <w:t>B</w:t>
      </w:r>
      <w:r w:rsidRPr="00C71E80">
        <w:rPr>
          <w:rFonts w:ascii="Times New Roman" w:hAnsi="Times New Roman"/>
        </w:rPr>
        <w:t xml:space="preserve">ehaviors in </w:t>
      </w:r>
      <w:r w:rsidR="00B86549">
        <w:rPr>
          <w:rFonts w:ascii="Times New Roman" w:hAnsi="Times New Roman"/>
        </w:rPr>
        <w:t>S</w:t>
      </w:r>
      <w:r w:rsidRPr="00C71E80">
        <w:rPr>
          <w:rFonts w:ascii="Times New Roman" w:hAnsi="Times New Roman"/>
        </w:rPr>
        <w:t>treptozotocin-</w:t>
      </w:r>
      <w:r w:rsidR="00B86549">
        <w:rPr>
          <w:rFonts w:ascii="Times New Roman" w:hAnsi="Times New Roman"/>
        </w:rPr>
        <w:t>I</w:t>
      </w:r>
      <w:r w:rsidRPr="00C71E80">
        <w:rPr>
          <w:rFonts w:ascii="Times New Roman" w:hAnsi="Times New Roman"/>
        </w:rPr>
        <w:t xml:space="preserve">nduced </w:t>
      </w:r>
      <w:r w:rsidR="00B86549">
        <w:rPr>
          <w:rFonts w:ascii="Times New Roman" w:hAnsi="Times New Roman"/>
        </w:rPr>
        <w:t>D</w:t>
      </w:r>
      <w:r w:rsidRPr="00C71E80">
        <w:rPr>
          <w:rFonts w:ascii="Times New Roman" w:hAnsi="Times New Roman"/>
        </w:rPr>
        <w:t xml:space="preserve">iabetic </w:t>
      </w:r>
      <w:r w:rsidR="00B86549">
        <w:rPr>
          <w:rFonts w:ascii="Times New Roman" w:hAnsi="Times New Roman"/>
        </w:rPr>
        <w:t>R</w:t>
      </w:r>
      <w:r w:rsidRPr="00C71E80">
        <w:rPr>
          <w:rFonts w:ascii="Times New Roman" w:hAnsi="Times New Roman"/>
        </w:rPr>
        <w:t xml:space="preserve">ats can be </w:t>
      </w:r>
      <w:r w:rsidR="00B86549">
        <w:rPr>
          <w:rFonts w:ascii="Times New Roman" w:hAnsi="Times New Roman"/>
        </w:rPr>
        <w:t>P</w:t>
      </w:r>
      <w:r w:rsidRPr="00C71E80">
        <w:rPr>
          <w:rFonts w:ascii="Times New Roman" w:hAnsi="Times New Roman"/>
        </w:rPr>
        <w:t xml:space="preserve">revented by </w:t>
      </w:r>
      <w:r w:rsidR="00B86549">
        <w:rPr>
          <w:rFonts w:ascii="Times New Roman" w:hAnsi="Times New Roman"/>
        </w:rPr>
        <w:t>P</w:t>
      </w:r>
      <w:r w:rsidRPr="00C71E80">
        <w:rPr>
          <w:rFonts w:ascii="Times New Roman" w:hAnsi="Times New Roman"/>
        </w:rPr>
        <w:t xml:space="preserve">rolonged </w:t>
      </w:r>
      <w:r w:rsidR="00B86549">
        <w:rPr>
          <w:rFonts w:ascii="Times New Roman" w:hAnsi="Times New Roman"/>
        </w:rPr>
        <w:t>T</w:t>
      </w:r>
      <w:r w:rsidRPr="00C71E80">
        <w:rPr>
          <w:rFonts w:ascii="Times New Roman" w:hAnsi="Times New Roman"/>
        </w:rPr>
        <w:t xml:space="preserve">reatment with </w:t>
      </w:r>
      <w:r w:rsidR="00B86549">
        <w:rPr>
          <w:rFonts w:ascii="Times New Roman" w:hAnsi="Times New Roman"/>
        </w:rPr>
        <w:t>V</w:t>
      </w:r>
      <w:r w:rsidRPr="00C71E80">
        <w:rPr>
          <w:rFonts w:ascii="Times New Roman" w:hAnsi="Times New Roman"/>
        </w:rPr>
        <w:t xml:space="preserve">itamin E. </w:t>
      </w:r>
      <w:proofErr w:type="spellStart"/>
      <w:r w:rsidRPr="00C71E80">
        <w:rPr>
          <w:rFonts w:ascii="Times New Roman" w:hAnsi="Times New Roman"/>
        </w:rPr>
        <w:t>Behav</w:t>
      </w:r>
      <w:proofErr w:type="spellEnd"/>
      <w:r w:rsidRPr="00C71E80">
        <w:rPr>
          <w:rFonts w:ascii="Times New Roman" w:hAnsi="Times New Roman"/>
        </w:rPr>
        <w:t xml:space="preserve"> Brain Res. 359:749–754. </w:t>
      </w:r>
    </w:p>
    <w:p w14:paraId="67281390" w14:textId="71F9850C" w:rsidR="00263E2C" w:rsidRPr="00C71E80" w:rsidRDefault="00263E2C" w:rsidP="00263E2C">
      <w:pPr>
        <w:pStyle w:val="Bibliography"/>
        <w:rPr>
          <w:rFonts w:ascii="Times New Roman" w:hAnsi="Times New Roman"/>
        </w:rPr>
      </w:pPr>
      <w:proofErr w:type="spellStart"/>
      <w:r w:rsidRPr="00C71E80">
        <w:rPr>
          <w:rFonts w:ascii="Times New Roman" w:hAnsi="Times New Roman"/>
        </w:rPr>
        <w:t>Steckler</w:t>
      </w:r>
      <w:proofErr w:type="spellEnd"/>
      <w:r w:rsidRPr="00C71E80">
        <w:rPr>
          <w:rFonts w:ascii="Times New Roman" w:hAnsi="Times New Roman"/>
        </w:rPr>
        <w:t xml:space="preserve"> T, </w:t>
      </w:r>
      <w:proofErr w:type="spellStart"/>
      <w:r w:rsidRPr="00C71E80">
        <w:rPr>
          <w:rFonts w:ascii="Times New Roman" w:hAnsi="Times New Roman"/>
        </w:rPr>
        <w:t>Risbrough</w:t>
      </w:r>
      <w:proofErr w:type="spellEnd"/>
      <w:r w:rsidRPr="00C71E80">
        <w:rPr>
          <w:rFonts w:ascii="Times New Roman" w:hAnsi="Times New Roman"/>
        </w:rPr>
        <w:t xml:space="preserve"> V. 2012. Pharmacological Treatment of PTSD – Established and New Approaches. Neuropharmacology. 62(2):617–627. </w:t>
      </w:r>
    </w:p>
    <w:p w14:paraId="07836112" w14:textId="3606357B" w:rsidR="00263E2C" w:rsidRPr="00C71E80" w:rsidRDefault="00263E2C" w:rsidP="00263E2C">
      <w:pPr>
        <w:pStyle w:val="Bibliography"/>
        <w:rPr>
          <w:rFonts w:ascii="Times New Roman" w:hAnsi="Times New Roman"/>
        </w:rPr>
      </w:pPr>
      <w:r w:rsidRPr="00C71E80">
        <w:rPr>
          <w:rFonts w:ascii="Times New Roman" w:hAnsi="Times New Roman"/>
        </w:rPr>
        <w:t xml:space="preserve">Stilling M, </w:t>
      </w:r>
      <w:proofErr w:type="spellStart"/>
      <w:r w:rsidRPr="00C71E80">
        <w:rPr>
          <w:rFonts w:ascii="Times New Roman" w:hAnsi="Times New Roman"/>
        </w:rPr>
        <w:t>Dinan</w:t>
      </w:r>
      <w:proofErr w:type="spellEnd"/>
      <w:r w:rsidRPr="00C71E80">
        <w:rPr>
          <w:rFonts w:ascii="Times New Roman" w:hAnsi="Times New Roman"/>
        </w:rPr>
        <w:t xml:space="preserve"> G, </w:t>
      </w:r>
      <w:proofErr w:type="spellStart"/>
      <w:r w:rsidRPr="00C71E80">
        <w:rPr>
          <w:rFonts w:ascii="Times New Roman" w:hAnsi="Times New Roman"/>
        </w:rPr>
        <w:t>Cryan</w:t>
      </w:r>
      <w:proofErr w:type="spellEnd"/>
      <w:r w:rsidRPr="00C71E80">
        <w:rPr>
          <w:rFonts w:ascii="Times New Roman" w:hAnsi="Times New Roman"/>
        </w:rPr>
        <w:t xml:space="preserve"> F. 2014. Microbial </w:t>
      </w:r>
      <w:r w:rsidR="00B86549">
        <w:rPr>
          <w:rFonts w:ascii="Times New Roman" w:hAnsi="Times New Roman"/>
        </w:rPr>
        <w:t>G</w:t>
      </w:r>
      <w:r w:rsidRPr="00C71E80">
        <w:rPr>
          <w:rFonts w:ascii="Times New Roman" w:hAnsi="Times New Roman"/>
        </w:rPr>
        <w:t xml:space="preserve">enes, </w:t>
      </w:r>
      <w:r w:rsidR="00B86549">
        <w:rPr>
          <w:rFonts w:ascii="Times New Roman" w:hAnsi="Times New Roman"/>
        </w:rPr>
        <w:t>B</w:t>
      </w:r>
      <w:r w:rsidRPr="00C71E80">
        <w:rPr>
          <w:rFonts w:ascii="Times New Roman" w:hAnsi="Times New Roman"/>
        </w:rPr>
        <w:t xml:space="preserve">rain &amp; </w:t>
      </w:r>
      <w:proofErr w:type="spellStart"/>
      <w:r w:rsidR="00B86549">
        <w:rPr>
          <w:rFonts w:ascii="Times New Roman" w:hAnsi="Times New Roman"/>
        </w:rPr>
        <w:t>B</w:t>
      </w:r>
      <w:r w:rsidRPr="00C71E80">
        <w:rPr>
          <w:rFonts w:ascii="Times New Roman" w:hAnsi="Times New Roman"/>
        </w:rPr>
        <w:t>ehaviour</w:t>
      </w:r>
      <w:proofErr w:type="spellEnd"/>
      <w:r w:rsidRPr="00C71E80">
        <w:rPr>
          <w:rFonts w:ascii="Times New Roman" w:hAnsi="Times New Roman"/>
        </w:rPr>
        <w:t xml:space="preserve"> – </w:t>
      </w:r>
      <w:r w:rsidR="00B86549">
        <w:rPr>
          <w:rFonts w:ascii="Times New Roman" w:hAnsi="Times New Roman"/>
        </w:rPr>
        <w:t>E</w:t>
      </w:r>
      <w:r w:rsidRPr="00C71E80">
        <w:rPr>
          <w:rFonts w:ascii="Times New Roman" w:hAnsi="Times New Roman"/>
        </w:rPr>
        <w:t xml:space="preserve">pigenetic </w:t>
      </w:r>
      <w:r w:rsidR="00B86549">
        <w:rPr>
          <w:rFonts w:ascii="Times New Roman" w:hAnsi="Times New Roman"/>
        </w:rPr>
        <w:t>R</w:t>
      </w:r>
      <w:r w:rsidRPr="00C71E80">
        <w:rPr>
          <w:rFonts w:ascii="Times New Roman" w:hAnsi="Times New Roman"/>
        </w:rPr>
        <w:t xml:space="preserve">egulation of the </w:t>
      </w:r>
      <w:r w:rsidR="00B86549">
        <w:rPr>
          <w:rFonts w:ascii="Times New Roman" w:hAnsi="Times New Roman"/>
        </w:rPr>
        <w:t>G</w:t>
      </w:r>
      <w:r w:rsidRPr="00C71E80">
        <w:rPr>
          <w:rFonts w:ascii="Times New Roman" w:hAnsi="Times New Roman"/>
        </w:rPr>
        <w:t>ut–</w:t>
      </w:r>
      <w:r w:rsidR="00B86549">
        <w:rPr>
          <w:rFonts w:ascii="Times New Roman" w:hAnsi="Times New Roman"/>
        </w:rPr>
        <w:t>Br</w:t>
      </w:r>
      <w:r w:rsidRPr="00C71E80">
        <w:rPr>
          <w:rFonts w:ascii="Times New Roman" w:hAnsi="Times New Roman"/>
        </w:rPr>
        <w:t xml:space="preserve">ain </w:t>
      </w:r>
      <w:r w:rsidR="00B86549">
        <w:rPr>
          <w:rFonts w:ascii="Times New Roman" w:hAnsi="Times New Roman"/>
        </w:rPr>
        <w:t>A</w:t>
      </w:r>
      <w:r w:rsidRPr="00C71E80">
        <w:rPr>
          <w:rFonts w:ascii="Times New Roman" w:hAnsi="Times New Roman"/>
        </w:rPr>
        <w:t xml:space="preserve">xis. Genes Brain </w:t>
      </w:r>
      <w:proofErr w:type="spellStart"/>
      <w:r w:rsidRPr="00C71E80">
        <w:rPr>
          <w:rFonts w:ascii="Times New Roman" w:hAnsi="Times New Roman"/>
        </w:rPr>
        <w:t>Behav</w:t>
      </w:r>
      <w:proofErr w:type="spellEnd"/>
      <w:r w:rsidRPr="00C71E80">
        <w:rPr>
          <w:rFonts w:ascii="Times New Roman" w:hAnsi="Times New Roman"/>
        </w:rPr>
        <w:t xml:space="preserve">. 13(1):69–86. </w:t>
      </w:r>
    </w:p>
    <w:p w14:paraId="562F9647" w14:textId="17909A2D" w:rsidR="00263E2C" w:rsidRPr="00C71E80" w:rsidRDefault="00263E2C" w:rsidP="00263E2C">
      <w:pPr>
        <w:pStyle w:val="Bibliography"/>
        <w:rPr>
          <w:rFonts w:ascii="Times New Roman" w:hAnsi="Times New Roman"/>
        </w:rPr>
      </w:pPr>
      <w:proofErr w:type="spellStart"/>
      <w:r w:rsidRPr="00C71E80">
        <w:rPr>
          <w:rFonts w:ascii="Times New Roman" w:hAnsi="Times New Roman"/>
        </w:rPr>
        <w:t>Stoppelbein</w:t>
      </w:r>
      <w:proofErr w:type="spellEnd"/>
      <w:r w:rsidRPr="00C71E80">
        <w:rPr>
          <w:rFonts w:ascii="Times New Roman" w:hAnsi="Times New Roman"/>
        </w:rPr>
        <w:t xml:space="preserve"> L, Greening L, </w:t>
      </w:r>
      <w:proofErr w:type="spellStart"/>
      <w:r w:rsidRPr="00C71E80">
        <w:rPr>
          <w:rFonts w:ascii="Times New Roman" w:hAnsi="Times New Roman"/>
        </w:rPr>
        <w:t>Fite</w:t>
      </w:r>
      <w:proofErr w:type="spellEnd"/>
      <w:r w:rsidRPr="00C71E80">
        <w:rPr>
          <w:rFonts w:ascii="Times New Roman" w:hAnsi="Times New Roman"/>
        </w:rPr>
        <w:t xml:space="preserve"> P. 2012. The </w:t>
      </w:r>
      <w:r w:rsidR="00B86549">
        <w:rPr>
          <w:rFonts w:ascii="Times New Roman" w:hAnsi="Times New Roman"/>
        </w:rPr>
        <w:t>R</w:t>
      </w:r>
      <w:r w:rsidRPr="00C71E80">
        <w:rPr>
          <w:rFonts w:ascii="Times New Roman" w:hAnsi="Times New Roman"/>
        </w:rPr>
        <w:t xml:space="preserve">ole of </w:t>
      </w:r>
      <w:r w:rsidR="00B86549">
        <w:rPr>
          <w:rFonts w:ascii="Times New Roman" w:hAnsi="Times New Roman"/>
        </w:rPr>
        <w:t>C</w:t>
      </w:r>
      <w:r w:rsidRPr="00C71E80">
        <w:rPr>
          <w:rFonts w:ascii="Times New Roman" w:hAnsi="Times New Roman"/>
        </w:rPr>
        <w:t xml:space="preserve">ortisol in PTSD </w:t>
      </w:r>
      <w:r w:rsidR="00B86549">
        <w:rPr>
          <w:rFonts w:ascii="Times New Roman" w:hAnsi="Times New Roman"/>
        </w:rPr>
        <w:t>A</w:t>
      </w:r>
      <w:r w:rsidRPr="00C71E80">
        <w:rPr>
          <w:rFonts w:ascii="Times New Roman" w:hAnsi="Times New Roman"/>
        </w:rPr>
        <w:t xml:space="preserve">mong </w:t>
      </w:r>
      <w:r w:rsidR="00B86549">
        <w:rPr>
          <w:rFonts w:ascii="Times New Roman" w:hAnsi="Times New Roman"/>
        </w:rPr>
        <w:t>W</w:t>
      </w:r>
      <w:r w:rsidRPr="00C71E80">
        <w:rPr>
          <w:rFonts w:ascii="Times New Roman" w:hAnsi="Times New Roman"/>
        </w:rPr>
        <w:t xml:space="preserve">omen </w:t>
      </w:r>
      <w:r w:rsidR="00B86549">
        <w:rPr>
          <w:rFonts w:ascii="Times New Roman" w:hAnsi="Times New Roman"/>
        </w:rPr>
        <w:t>E</w:t>
      </w:r>
      <w:r w:rsidRPr="00C71E80">
        <w:rPr>
          <w:rFonts w:ascii="Times New Roman" w:hAnsi="Times New Roman"/>
        </w:rPr>
        <w:t xml:space="preserve">xposed to a </w:t>
      </w:r>
      <w:r w:rsidR="00B86549">
        <w:rPr>
          <w:rFonts w:ascii="Times New Roman" w:hAnsi="Times New Roman"/>
        </w:rPr>
        <w:t>T</w:t>
      </w:r>
      <w:r w:rsidRPr="00C71E80">
        <w:rPr>
          <w:rFonts w:ascii="Times New Roman" w:hAnsi="Times New Roman"/>
        </w:rPr>
        <w:t>rauma-</w:t>
      </w:r>
      <w:r w:rsidR="00B86549">
        <w:rPr>
          <w:rFonts w:ascii="Times New Roman" w:hAnsi="Times New Roman"/>
        </w:rPr>
        <w:t>R</w:t>
      </w:r>
      <w:r w:rsidRPr="00C71E80">
        <w:rPr>
          <w:rFonts w:ascii="Times New Roman" w:hAnsi="Times New Roman"/>
        </w:rPr>
        <w:t xml:space="preserve">elated </w:t>
      </w:r>
      <w:r w:rsidR="00B86549">
        <w:rPr>
          <w:rFonts w:ascii="Times New Roman" w:hAnsi="Times New Roman"/>
        </w:rPr>
        <w:t>S</w:t>
      </w:r>
      <w:r w:rsidRPr="00C71E80">
        <w:rPr>
          <w:rFonts w:ascii="Times New Roman" w:hAnsi="Times New Roman"/>
        </w:rPr>
        <w:t xml:space="preserve">tressor. J Anxiety </w:t>
      </w:r>
      <w:proofErr w:type="spellStart"/>
      <w:r w:rsidRPr="00C71E80">
        <w:rPr>
          <w:rFonts w:ascii="Times New Roman" w:hAnsi="Times New Roman"/>
        </w:rPr>
        <w:t>Disord</w:t>
      </w:r>
      <w:proofErr w:type="spellEnd"/>
      <w:r w:rsidRPr="00C71E80">
        <w:rPr>
          <w:rFonts w:ascii="Times New Roman" w:hAnsi="Times New Roman"/>
        </w:rPr>
        <w:t xml:space="preserve">. 26(2):352–358. </w:t>
      </w:r>
    </w:p>
    <w:p w14:paraId="7AA4F81B" w14:textId="42F9EC52" w:rsidR="00263E2C" w:rsidRPr="00C71E80" w:rsidRDefault="00263E2C" w:rsidP="00263E2C">
      <w:pPr>
        <w:pStyle w:val="Bibliography"/>
        <w:rPr>
          <w:rFonts w:ascii="Times New Roman" w:hAnsi="Times New Roman"/>
        </w:rPr>
      </w:pPr>
      <w:proofErr w:type="spellStart"/>
      <w:r w:rsidRPr="00C71E80">
        <w:rPr>
          <w:rFonts w:ascii="Times New Roman" w:hAnsi="Times New Roman"/>
        </w:rPr>
        <w:t>Tseylikman</w:t>
      </w:r>
      <w:proofErr w:type="spellEnd"/>
      <w:r w:rsidRPr="00C71E80">
        <w:rPr>
          <w:rFonts w:ascii="Times New Roman" w:hAnsi="Times New Roman"/>
        </w:rPr>
        <w:t xml:space="preserve"> E, </w:t>
      </w:r>
      <w:proofErr w:type="spellStart"/>
      <w:r w:rsidRPr="00C71E80">
        <w:rPr>
          <w:rFonts w:ascii="Times New Roman" w:hAnsi="Times New Roman"/>
        </w:rPr>
        <w:t>Davydovich</w:t>
      </w:r>
      <w:proofErr w:type="spellEnd"/>
      <w:r w:rsidRPr="00C71E80">
        <w:rPr>
          <w:rFonts w:ascii="Times New Roman" w:hAnsi="Times New Roman"/>
        </w:rPr>
        <w:t xml:space="preserve"> G, </w:t>
      </w:r>
      <w:proofErr w:type="spellStart"/>
      <w:r w:rsidRPr="00C71E80">
        <w:rPr>
          <w:rFonts w:ascii="Times New Roman" w:hAnsi="Times New Roman"/>
        </w:rPr>
        <w:t>Tseilikman</w:t>
      </w:r>
      <w:proofErr w:type="spellEnd"/>
      <w:r w:rsidRPr="00C71E80">
        <w:rPr>
          <w:rFonts w:ascii="Times New Roman" w:hAnsi="Times New Roman"/>
        </w:rPr>
        <w:t xml:space="preserve"> B, </w:t>
      </w:r>
      <w:proofErr w:type="spellStart"/>
      <w:r w:rsidRPr="00C71E80">
        <w:rPr>
          <w:rFonts w:ascii="Times New Roman" w:hAnsi="Times New Roman"/>
        </w:rPr>
        <w:t>Feklicheva</w:t>
      </w:r>
      <w:proofErr w:type="spellEnd"/>
      <w:r w:rsidRPr="00C71E80">
        <w:rPr>
          <w:rFonts w:ascii="Times New Roman" w:hAnsi="Times New Roman"/>
        </w:rPr>
        <w:t xml:space="preserve"> V, </w:t>
      </w:r>
      <w:proofErr w:type="spellStart"/>
      <w:r w:rsidRPr="00C71E80">
        <w:rPr>
          <w:rFonts w:ascii="Times New Roman" w:hAnsi="Times New Roman"/>
        </w:rPr>
        <w:t>Shankova</w:t>
      </w:r>
      <w:proofErr w:type="spellEnd"/>
      <w:r w:rsidRPr="00C71E80">
        <w:rPr>
          <w:rFonts w:ascii="Times New Roman" w:hAnsi="Times New Roman"/>
        </w:rPr>
        <w:t xml:space="preserve"> A, </w:t>
      </w:r>
      <w:proofErr w:type="spellStart"/>
      <w:r w:rsidRPr="00C71E80">
        <w:rPr>
          <w:rFonts w:ascii="Times New Roman" w:hAnsi="Times New Roman"/>
        </w:rPr>
        <w:t>Boyarinova</w:t>
      </w:r>
      <w:proofErr w:type="spellEnd"/>
      <w:r w:rsidRPr="00C71E80">
        <w:rPr>
          <w:rFonts w:ascii="Times New Roman" w:hAnsi="Times New Roman"/>
        </w:rPr>
        <w:t xml:space="preserve"> V. 2017. PTSD-</w:t>
      </w:r>
      <w:r w:rsidR="00B86549">
        <w:rPr>
          <w:rFonts w:ascii="Times New Roman" w:hAnsi="Times New Roman"/>
        </w:rPr>
        <w:t>R</w:t>
      </w:r>
      <w:r w:rsidRPr="00C71E80">
        <w:rPr>
          <w:rFonts w:ascii="Times New Roman" w:hAnsi="Times New Roman"/>
        </w:rPr>
        <w:t xml:space="preserve">elated </w:t>
      </w:r>
      <w:r w:rsidR="00B86549">
        <w:rPr>
          <w:rFonts w:ascii="Times New Roman" w:hAnsi="Times New Roman"/>
        </w:rPr>
        <w:t>S</w:t>
      </w:r>
      <w:r w:rsidRPr="00C71E80">
        <w:rPr>
          <w:rFonts w:ascii="Times New Roman" w:hAnsi="Times New Roman"/>
        </w:rPr>
        <w:t xml:space="preserve">hifts in HPA axis, DHEA </w:t>
      </w:r>
      <w:r w:rsidR="00B86549">
        <w:rPr>
          <w:rFonts w:ascii="Times New Roman" w:hAnsi="Times New Roman"/>
        </w:rPr>
        <w:t>Le</w:t>
      </w:r>
      <w:r w:rsidRPr="00C71E80">
        <w:rPr>
          <w:rFonts w:ascii="Times New Roman" w:hAnsi="Times New Roman"/>
        </w:rPr>
        <w:t xml:space="preserve">vels in </w:t>
      </w:r>
      <w:r w:rsidR="00B86549">
        <w:rPr>
          <w:rFonts w:ascii="Times New Roman" w:hAnsi="Times New Roman"/>
        </w:rPr>
        <w:t>C</w:t>
      </w:r>
      <w:r w:rsidRPr="00C71E80">
        <w:rPr>
          <w:rFonts w:ascii="Times New Roman" w:hAnsi="Times New Roman"/>
        </w:rPr>
        <w:t xml:space="preserve">hernobyl </w:t>
      </w:r>
      <w:r w:rsidR="00B86549">
        <w:rPr>
          <w:rFonts w:ascii="Times New Roman" w:hAnsi="Times New Roman"/>
        </w:rPr>
        <w:t>Nu</w:t>
      </w:r>
      <w:r w:rsidRPr="00C71E80">
        <w:rPr>
          <w:rFonts w:ascii="Times New Roman" w:hAnsi="Times New Roman"/>
        </w:rPr>
        <w:t xml:space="preserve">clear </w:t>
      </w:r>
      <w:r w:rsidR="00B86549">
        <w:rPr>
          <w:rFonts w:ascii="Times New Roman" w:hAnsi="Times New Roman"/>
        </w:rPr>
        <w:t>P</w:t>
      </w:r>
      <w:r w:rsidRPr="00C71E80">
        <w:rPr>
          <w:rFonts w:ascii="Times New Roman" w:hAnsi="Times New Roman"/>
        </w:rPr>
        <w:t>l</w:t>
      </w:r>
      <w:r w:rsidR="00B86549">
        <w:rPr>
          <w:rFonts w:ascii="Times New Roman" w:hAnsi="Times New Roman"/>
        </w:rPr>
        <w:t>a</w:t>
      </w:r>
      <w:r w:rsidRPr="00C71E80">
        <w:rPr>
          <w:rFonts w:ascii="Times New Roman" w:hAnsi="Times New Roman"/>
        </w:rPr>
        <w:t xml:space="preserve">nt </w:t>
      </w:r>
      <w:r w:rsidR="00B86549">
        <w:rPr>
          <w:rFonts w:ascii="Times New Roman" w:hAnsi="Times New Roman"/>
        </w:rPr>
        <w:t>C</w:t>
      </w:r>
      <w:r w:rsidRPr="00C71E80">
        <w:rPr>
          <w:rFonts w:ascii="Times New Roman" w:hAnsi="Times New Roman"/>
        </w:rPr>
        <w:t xml:space="preserve">lean-up </w:t>
      </w:r>
      <w:r w:rsidR="00B86549">
        <w:rPr>
          <w:rFonts w:ascii="Times New Roman" w:hAnsi="Times New Roman"/>
        </w:rPr>
        <w:t>W</w:t>
      </w:r>
      <w:r w:rsidRPr="00C71E80">
        <w:rPr>
          <w:rFonts w:ascii="Times New Roman" w:hAnsi="Times New Roman"/>
        </w:rPr>
        <w:t xml:space="preserve">orkers. </w:t>
      </w:r>
      <w:proofErr w:type="spellStart"/>
      <w:r w:rsidRPr="00C71E80">
        <w:rPr>
          <w:rFonts w:ascii="Times New Roman" w:hAnsi="Times New Roman"/>
        </w:rPr>
        <w:t>Psychoneuroendocrinology</w:t>
      </w:r>
      <w:proofErr w:type="spellEnd"/>
      <w:r w:rsidRPr="00C71E80">
        <w:rPr>
          <w:rFonts w:ascii="Times New Roman" w:hAnsi="Times New Roman"/>
        </w:rPr>
        <w:t xml:space="preserve">. 83:39. </w:t>
      </w:r>
    </w:p>
    <w:p w14:paraId="25CF2D9B" w14:textId="4FB15B2D" w:rsidR="00263E2C" w:rsidRPr="00C71E80" w:rsidRDefault="00263E2C" w:rsidP="00263E2C">
      <w:pPr>
        <w:pStyle w:val="Bibliography"/>
        <w:rPr>
          <w:rFonts w:ascii="Times New Roman" w:hAnsi="Times New Roman"/>
        </w:rPr>
      </w:pPr>
      <w:proofErr w:type="spellStart"/>
      <w:r w:rsidRPr="00C71E80">
        <w:rPr>
          <w:rFonts w:ascii="Times New Roman" w:hAnsi="Times New Roman"/>
        </w:rPr>
        <w:t>Ursano</w:t>
      </w:r>
      <w:proofErr w:type="spellEnd"/>
      <w:r w:rsidRPr="00C71E80">
        <w:rPr>
          <w:rFonts w:ascii="Times New Roman" w:hAnsi="Times New Roman"/>
        </w:rPr>
        <w:t xml:space="preserve"> J, Bell C, Eth S, Friedman M, Norwood A, </w:t>
      </w:r>
      <w:proofErr w:type="spellStart"/>
      <w:r w:rsidRPr="00C71E80">
        <w:rPr>
          <w:rFonts w:ascii="Times New Roman" w:hAnsi="Times New Roman"/>
        </w:rPr>
        <w:t>Pfefferbaum</w:t>
      </w:r>
      <w:proofErr w:type="spellEnd"/>
      <w:r w:rsidRPr="00C71E80">
        <w:rPr>
          <w:rFonts w:ascii="Times New Roman" w:hAnsi="Times New Roman"/>
        </w:rPr>
        <w:t xml:space="preserve"> B, </w:t>
      </w:r>
      <w:proofErr w:type="spellStart"/>
      <w:r w:rsidRPr="00C71E80">
        <w:rPr>
          <w:rFonts w:ascii="Times New Roman" w:hAnsi="Times New Roman"/>
        </w:rPr>
        <w:t>Pynoos</w:t>
      </w:r>
      <w:proofErr w:type="spellEnd"/>
      <w:r w:rsidRPr="00C71E80">
        <w:rPr>
          <w:rFonts w:ascii="Times New Roman" w:hAnsi="Times New Roman"/>
        </w:rPr>
        <w:t xml:space="preserve"> S, </w:t>
      </w:r>
      <w:proofErr w:type="spellStart"/>
      <w:r w:rsidRPr="00C71E80">
        <w:rPr>
          <w:rFonts w:ascii="Times New Roman" w:hAnsi="Times New Roman"/>
        </w:rPr>
        <w:t>Zatzick</w:t>
      </w:r>
      <w:proofErr w:type="spellEnd"/>
      <w:r w:rsidRPr="00C71E80">
        <w:rPr>
          <w:rFonts w:ascii="Times New Roman" w:hAnsi="Times New Roman"/>
        </w:rPr>
        <w:t xml:space="preserve"> F, </w:t>
      </w:r>
      <w:proofErr w:type="spellStart"/>
      <w:r w:rsidRPr="00C71E80">
        <w:rPr>
          <w:rFonts w:ascii="Times New Roman" w:hAnsi="Times New Roman"/>
        </w:rPr>
        <w:t>Benedek</w:t>
      </w:r>
      <w:proofErr w:type="spellEnd"/>
      <w:r w:rsidRPr="00C71E80">
        <w:rPr>
          <w:rFonts w:ascii="Times New Roman" w:hAnsi="Times New Roman"/>
        </w:rPr>
        <w:t xml:space="preserve"> M, McIntyre S, et al. 2004. Practice </w:t>
      </w:r>
      <w:r w:rsidR="00B86549">
        <w:rPr>
          <w:rFonts w:ascii="Times New Roman" w:hAnsi="Times New Roman"/>
        </w:rPr>
        <w:t>G</w:t>
      </w:r>
      <w:r w:rsidRPr="00C71E80">
        <w:rPr>
          <w:rFonts w:ascii="Times New Roman" w:hAnsi="Times New Roman"/>
        </w:rPr>
        <w:t xml:space="preserve">uideline for the </w:t>
      </w:r>
      <w:r w:rsidR="00B86549">
        <w:rPr>
          <w:rFonts w:ascii="Times New Roman" w:hAnsi="Times New Roman"/>
        </w:rPr>
        <w:t>T</w:t>
      </w:r>
      <w:r w:rsidRPr="00C71E80">
        <w:rPr>
          <w:rFonts w:ascii="Times New Roman" w:hAnsi="Times New Roman"/>
        </w:rPr>
        <w:t xml:space="preserve">reatment of </w:t>
      </w:r>
      <w:r w:rsidR="00B86549">
        <w:rPr>
          <w:rFonts w:ascii="Times New Roman" w:hAnsi="Times New Roman"/>
        </w:rPr>
        <w:t>P</w:t>
      </w:r>
      <w:r w:rsidRPr="00C71E80">
        <w:rPr>
          <w:rFonts w:ascii="Times New Roman" w:hAnsi="Times New Roman"/>
        </w:rPr>
        <w:t xml:space="preserve">atients with </w:t>
      </w:r>
      <w:r w:rsidR="00B86549">
        <w:rPr>
          <w:rFonts w:ascii="Times New Roman" w:hAnsi="Times New Roman"/>
        </w:rPr>
        <w:t>A</w:t>
      </w:r>
      <w:r w:rsidRPr="00C71E80">
        <w:rPr>
          <w:rFonts w:ascii="Times New Roman" w:hAnsi="Times New Roman"/>
        </w:rPr>
        <w:t xml:space="preserve">cute </w:t>
      </w:r>
      <w:r w:rsidR="00B86549">
        <w:rPr>
          <w:rFonts w:ascii="Times New Roman" w:hAnsi="Times New Roman"/>
        </w:rPr>
        <w:t>S</w:t>
      </w:r>
      <w:r w:rsidRPr="00C71E80">
        <w:rPr>
          <w:rFonts w:ascii="Times New Roman" w:hAnsi="Times New Roman"/>
        </w:rPr>
        <w:t xml:space="preserve">tress </w:t>
      </w:r>
      <w:r w:rsidR="00B86549">
        <w:rPr>
          <w:rFonts w:ascii="Times New Roman" w:hAnsi="Times New Roman"/>
        </w:rPr>
        <w:t>D</w:t>
      </w:r>
      <w:r w:rsidRPr="00C71E80">
        <w:rPr>
          <w:rFonts w:ascii="Times New Roman" w:hAnsi="Times New Roman"/>
        </w:rPr>
        <w:t xml:space="preserve">isorder and </w:t>
      </w:r>
      <w:r w:rsidR="00B86549">
        <w:rPr>
          <w:rFonts w:ascii="Times New Roman" w:hAnsi="Times New Roman"/>
        </w:rPr>
        <w:t>P</w:t>
      </w:r>
      <w:r w:rsidRPr="00C71E80">
        <w:rPr>
          <w:rFonts w:ascii="Times New Roman" w:hAnsi="Times New Roman"/>
        </w:rPr>
        <w:t>ost</w:t>
      </w:r>
      <w:r w:rsidR="00B86549">
        <w:rPr>
          <w:rFonts w:ascii="Times New Roman" w:hAnsi="Times New Roman"/>
        </w:rPr>
        <w:t>-T</w:t>
      </w:r>
      <w:r w:rsidRPr="00C71E80">
        <w:rPr>
          <w:rFonts w:ascii="Times New Roman" w:hAnsi="Times New Roman"/>
        </w:rPr>
        <w:t xml:space="preserve">raumatic </w:t>
      </w:r>
      <w:r w:rsidR="00B86549">
        <w:rPr>
          <w:rFonts w:ascii="Times New Roman" w:hAnsi="Times New Roman"/>
        </w:rPr>
        <w:t>S</w:t>
      </w:r>
      <w:r w:rsidRPr="00C71E80">
        <w:rPr>
          <w:rFonts w:ascii="Times New Roman" w:hAnsi="Times New Roman"/>
        </w:rPr>
        <w:t xml:space="preserve">tress </w:t>
      </w:r>
      <w:r w:rsidR="00B86549">
        <w:rPr>
          <w:rFonts w:ascii="Times New Roman" w:hAnsi="Times New Roman"/>
        </w:rPr>
        <w:t>D</w:t>
      </w:r>
      <w:r w:rsidRPr="00C71E80">
        <w:rPr>
          <w:rFonts w:ascii="Times New Roman" w:hAnsi="Times New Roman"/>
        </w:rPr>
        <w:t>isorder. Am J Psychiatry. 161(11 Suppl):3–31.</w:t>
      </w:r>
    </w:p>
    <w:p w14:paraId="18154849" w14:textId="382B82F2" w:rsidR="00263E2C" w:rsidRPr="00C71E80" w:rsidRDefault="00263E2C" w:rsidP="00263E2C">
      <w:pPr>
        <w:pStyle w:val="Bibliography"/>
        <w:rPr>
          <w:rFonts w:ascii="Times New Roman" w:hAnsi="Times New Roman"/>
        </w:rPr>
      </w:pPr>
      <w:r w:rsidRPr="00C71E80">
        <w:rPr>
          <w:rFonts w:ascii="Times New Roman" w:hAnsi="Times New Roman"/>
        </w:rPr>
        <w:t xml:space="preserve">West J, Liang B, Spinazzola J. 2017. Trauma </w:t>
      </w:r>
      <w:r w:rsidR="00B86549">
        <w:rPr>
          <w:rFonts w:ascii="Times New Roman" w:hAnsi="Times New Roman"/>
        </w:rPr>
        <w:t>S</w:t>
      </w:r>
      <w:r w:rsidRPr="00C71E80">
        <w:rPr>
          <w:rFonts w:ascii="Times New Roman" w:hAnsi="Times New Roman"/>
        </w:rPr>
        <w:t xml:space="preserve">ensitive </w:t>
      </w:r>
      <w:r w:rsidR="00B86549">
        <w:rPr>
          <w:rFonts w:ascii="Times New Roman" w:hAnsi="Times New Roman"/>
        </w:rPr>
        <w:t>Y</w:t>
      </w:r>
      <w:r w:rsidRPr="00C71E80">
        <w:rPr>
          <w:rFonts w:ascii="Times New Roman" w:hAnsi="Times New Roman"/>
        </w:rPr>
        <w:t xml:space="preserve">oga as a </w:t>
      </w:r>
      <w:r w:rsidR="00B86549">
        <w:rPr>
          <w:rFonts w:ascii="Times New Roman" w:hAnsi="Times New Roman"/>
        </w:rPr>
        <w:t>C</w:t>
      </w:r>
      <w:r w:rsidRPr="00C71E80">
        <w:rPr>
          <w:rFonts w:ascii="Times New Roman" w:hAnsi="Times New Roman"/>
        </w:rPr>
        <w:t xml:space="preserve">omplementary </w:t>
      </w:r>
      <w:r w:rsidR="00B86549">
        <w:rPr>
          <w:rFonts w:ascii="Times New Roman" w:hAnsi="Times New Roman"/>
        </w:rPr>
        <w:t>Tr</w:t>
      </w:r>
      <w:r w:rsidRPr="00C71E80">
        <w:rPr>
          <w:rFonts w:ascii="Times New Roman" w:hAnsi="Times New Roman"/>
        </w:rPr>
        <w:t xml:space="preserve">eatment for </w:t>
      </w:r>
      <w:r w:rsidR="00B86549">
        <w:rPr>
          <w:rFonts w:ascii="Times New Roman" w:hAnsi="Times New Roman"/>
        </w:rPr>
        <w:t>P</w:t>
      </w:r>
      <w:r w:rsidRPr="00C71E80">
        <w:rPr>
          <w:rFonts w:ascii="Times New Roman" w:hAnsi="Times New Roman"/>
        </w:rPr>
        <w:t>ost</w:t>
      </w:r>
      <w:r w:rsidR="00B86549">
        <w:rPr>
          <w:rFonts w:ascii="Times New Roman" w:hAnsi="Times New Roman"/>
        </w:rPr>
        <w:t>-T</w:t>
      </w:r>
      <w:r w:rsidRPr="00C71E80">
        <w:rPr>
          <w:rFonts w:ascii="Times New Roman" w:hAnsi="Times New Roman"/>
        </w:rPr>
        <w:t xml:space="preserve">raumatic </w:t>
      </w:r>
      <w:r w:rsidR="00B86549">
        <w:rPr>
          <w:rFonts w:ascii="Times New Roman" w:hAnsi="Times New Roman"/>
        </w:rPr>
        <w:t>S</w:t>
      </w:r>
      <w:r w:rsidRPr="00C71E80">
        <w:rPr>
          <w:rFonts w:ascii="Times New Roman" w:hAnsi="Times New Roman"/>
        </w:rPr>
        <w:t xml:space="preserve">tress </w:t>
      </w:r>
      <w:r w:rsidR="00B86549">
        <w:rPr>
          <w:rFonts w:ascii="Times New Roman" w:hAnsi="Times New Roman"/>
        </w:rPr>
        <w:t>D</w:t>
      </w:r>
      <w:r w:rsidRPr="00C71E80">
        <w:rPr>
          <w:rFonts w:ascii="Times New Roman" w:hAnsi="Times New Roman"/>
        </w:rPr>
        <w:t xml:space="preserve">isorder: A </w:t>
      </w:r>
      <w:r w:rsidR="00B86549">
        <w:rPr>
          <w:rFonts w:ascii="Times New Roman" w:hAnsi="Times New Roman"/>
        </w:rPr>
        <w:t>Q</w:t>
      </w:r>
      <w:r w:rsidRPr="00C71E80">
        <w:rPr>
          <w:rFonts w:ascii="Times New Roman" w:hAnsi="Times New Roman"/>
        </w:rPr>
        <w:t xml:space="preserve">ualitative </w:t>
      </w:r>
      <w:r w:rsidR="00B86549">
        <w:rPr>
          <w:rFonts w:ascii="Times New Roman" w:hAnsi="Times New Roman"/>
        </w:rPr>
        <w:t>D</w:t>
      </w:r>
      <w:r w:rsidRPr="00C71E80">
        <w:rPr>
          <w:rFonts w:ascii="Times New Roman" w:hAnsi="Times New Roman"/>
        </w:rPr>
        <w:t>escriptive</w:t>
      </w:r>
      <w:r w:rsidR="00B86549">
        <w:rPr>
          <w:rFonts w:ascii="Times New Roman" w:hAnsi="Times New Roman"/>
        </w:rPr>
        <w:t xml:space="preserve"> A</w:t>
      </w:r>
      <w:r w:rsidRPr="00C71E80">
        <w:rPr>
          <w:rFonts w:ascii="Times New Roman" w:hAnsi="Times New Roman"/>
        </w:rPr>
        <w:t xml:space="preserve">nalysis. Int J Stress </w:t>
      </w:r>
      <w:proofErr w:type="spellStart"/>
      <w:r w:rsidRPr="00C71E80">
        <w:rPr>
          <w:rFonts w:ascii="Times New Roman" w:hAnsi="Times New Roman"/>
        </w:rPr>
        <w:t>Manag</w:t>
      </w:r>
      <w:proofErr w:type="spellEnd"/>
      <w:r w:rsidRPr="00C71E80">
        <w:rPr>
          <w:rFonts w:ascii="Times New Roman" w:hAnsi="Times New Roman"/>
        </w:rPr>
        <w:t xml:space="preserve">. 24(2):173–195. </w:t>
      </w:r>
    </w:p>
    <w:p w14:paraId="0382DC1C" w14:textId="6E99586B" w:rsidR="00263E2C" w:rsidRPr="00C71E80" w:rsidRDefault="00263E2C" w:rsidP="00263E2C">
      <w:pPr>
        <w:pStyle w:val="Bibliography"/>
        <w:rPr>
          <w:rFonts w:ascii="Times New Roman" w:hAnsi="Times New Roman"/>
        </w:rPr>
      </w:pPr>
      <w:proofErr w:type="spellStart"/>
      <w:r w:rsidRPr="00C71E80">
        <w:rPr>
          <w:rFonts w:ascii="Times New Roman" w:hAnsi="Times New Roman"/>
        </w:rPr>
        <w:t>Whooley</w:t>
      </w:r>
      <w:proofErr w:type="spellEnd"/>
      <w:r w:rsidRPr="00C71E80">
        <w:rPr>
          <w:rFonts w:ascii="Times New Roman" w:hAnsi="Times New Roman"/>
        </w:rPr>
        <w:t xml:space="preserve"> A. 2008. Depressive Symptoms, Health Behaviors, and Risk of Cardiovascular Events in Patients </w:t>
      </w:r>
      <w:r w:rsidR="00B86549">
        <w:rPr>
          <w:rFonts w:ascii="Times New Roman" w:hAnsi="Times New Roman"/>
        </w:rPr>
        <w:t>w</w:t>
      </w:r>
      <w:r w:rsidRPr="00C71E80">
        <w:rPr>
          <w:rFonts w:ascii="Times New Roman" w:hAnsi="Times New Roman"/>
        </w:rPr>
        <w:t xml:space="preserve">ith Coronary Heart Disease. JAMA. 300(20):2379. </w:t>
      </w:r>
    </w:p>
    <w:p w14:paraId="4E42CB81" w14:textId="31B92AD6" w:rsidR="00263E2C" w:rsidRPr="00C71E80" w:rsidRDefault="00263E2C" w:rsidP="00263E2C">
      <w:pPr>
        <w:pStyle w:val="Bibliography"/>
        <w:rPr>
          <w:rFonts w:ascii="Times New Roman" w:hAnsi="Times New Roman"/>
        </w:rPr>
      </w:pPr>
      <w:r w:rsidRPr="00C71E80">
        <w:rPr>
          <w:rFonts w:ascii="Times New Roman" w:hAnsi="Times New Roman"/>
        </w:rPr>
        <w:t xml:space="preserve">Wilkins S, Melrose J, Hall S, Blanchard E, Castle C, Kopp T, </w:t>
      </w:r>
      <w:proofErr w:type="spellStart"/>
      <w:r w:rsidRPr="00C71E80">
        <w:rPr>
          <w:rFonts w:ascii="Times New Roman" w:hAnsi="Times New Roman"/>
        </w:rPr>
        <w:t>Katzel</w:t>
      </w:r>
      <w:proofErr w:type="spellEnd"/>
      <w:r w:rsidRPr="00C71E80">
        <w:rPr>
          <w:rFonts w:ascii="Times New Roman" w:hAnsi="Times New Roman"/>
        </w:rPr>
        <w:t xml:space="preserve"> I, Holder A, Alexander N, McDonald S, et al. PTSD Improvement Associated with Social Connectedness in </w:t>
      </w:r>
      <w:proofErr w:type="spellStart"/>
      <w:r w:rsidRPr="00C71E80">
        <w:rPr>
          <w:rFonts w:ascii="Times New Roman" w:hAnsi="Times New Roman"/>
        </w:rPr>
        <w:t>Gerofit</w:t>
      </w:r>
      <w:proofErr w:type="spellEnd"/>
      <w:r w:rsidRPr="00C71E80">
        <w:rPr>
          <w:rFonts w:ascii="Times New Roman" w:hAnsi="Times New Roman"/>
        </w:rPr>
        <w:t xml:space="preserve"> Veterans Exercise Program. J Am </w:t>
      </w:r>
      <w:proofErr w:type="spellStart"/>
      <w:r w:rsidRPr="00C71E80">
        <w:rPr>
          <w:rFonts w:ascii="Times New Roman" w:hAnsi="Times New Roman"/>
        </w:rPr>
        <w:t>Geriatr</w:t>
      </w:r>
      <w:proofErr w:type="spellEnd"/>
      <w:r w:rsidRPr="00C71E80">
        <w:rPr>
          <w:rFonts w:ascii="Times New Roman" w:hAnsi="Times New Roman"/>
        </w:rPr>
        <w:t xml:space="preserve"> Soc. </w:t>
      </w:r>
    </w:p>
    <w:p w14:paraId="7385E994" w14:textId="1014283E" w:rsidR="00263E2C" w:rsidRPr="00C71E80" w:rsidRDefault="00263E2C" w:rsidP="00263E2C">
      <w:pPr>
        <w:pStyle w:val="Bibliography"/>
        <w:rPr>
          <w:rFonts w:ascii="Times New Roman" w:hAnsi="Times New Roman"/>
        </w:rPr>
      </w:pPr>
      <w:r w:rsidRPr="00C71E80">
        <w:rPr>
          <w:rFonts w:ascii="Times New Roman" w:hAnsi="Times New Roman"/>
        </w:rPr>
        <w:t xml:space="preserve">Young A, Abelson L, Cameron G. 2005. Interaction of </w:t>
      </w:r>
      <w:r w:rsidR="003643EB">
        <w:rPr>
          <w:rFonts w:ascii="Times New Roman" w:hAnsi="Times New Roman"/>
        </w:rPr>
        <w:t>B</w:t>
      </w:r>
      <w:r w:rsidRPr="00C71E80">
        <w:rPr>
          <w:rFonts w:ascii="Times New Roman" w:hAnsi="Times New Roman"/>
        </w:rPr>
        <w:t xml:space="preserve">rain </w:t>
      </w:r>
      <w:r w:rsidR="003643EB">
        <w:rPr>
          <w:rFonts w:ascii="Times New Roman" w:hAnsi="Times New Roman"/>
        </w:rPr>
        <w:t>No</w:t>
      </w:r>
      <w:r w:rsidRPr="00C71E80">
        <w:rPr>
          <w:rFonts w:ascii="Times New Roman" w:hAnsi="Times New Roman"/>
        </w:rPr>
        <w:t xml:space="preserve">radrenergic </w:t>
      </w:r>
      <w:r w:rsidR="003643EB">
        <w:rPr>
          <w:rFonts w:ascii="Times New Roman" w:hAnsi="Times New Roman"/>
        </w:rPr>
        <w:t>S</w:t>
      </w:r>
      <w:r w:rsidRPr="00C71E80">
        <w:rPr>
          <w:rFonts w:ascii="Times New Roman" w:hAnsi="Times New Roman"/>
        </w:rPr>
        <w:t xml:space="preserve">ystem and the </w:t>
      </w:r>
      <w:r w:rsidR="003643EB">
        <w:rPr>
          <w:rFonts w:ascii="Times New Roman" w:hAnsi="Times New Roman"/>
        </w:rPr>
        <w:t>H</w:t>
      </w:r>
      <w:r w:rsidRPr="00C71E80">
        <w:rPr>
          <w:rFonts w:ascii="Times New Roman" w:hAnsi="Times New Roman"/>
        </w:rPr>
        <w:t>ypothalamic–</w:t>
      </w:r>
      <w:r w:rsidR="003643EB">
        <w:rPr>
          <w:rFonts w:ascii="Times New Roman" w:hAnsi="Times New Roman"/>
        </w:rPr>
        <w:t>P</w:t>
      </w:r>
      <w:r w:rsidRPr="00C71E80">
        <w:rPr>
          <w:rFonts w:ascii="Times New Roman" w:hAnsi="Times New Roman"/>
        </w:rPr>
        <w:t>ituitary–</w:t>
      </w:r>
      <w:r w:rsidR="003643EB">
        <w:rPr>
          <w:rFonts w:ascii="Times New Roman" w:hAnsi="Times New Roman"/>
        </w:rPr>
        <w:t>A</w:t>
      </w:r>
      <w:r w:rsidRPr="00C71E80">
        <w:rPr>
          <w:rFonts w:ascii="Times New Roman" w:hAnsi="Times New Roman"/>
        </w:rPr>
        <w:t xml:space="preserve">drenal (HPA) </w:t>
      </w:r>
      <w:r w:rsidR="003643EB">
        <w:rPr>
          <w:rFonts w:ascii="Times New Roman" w:hAnsi="Times New Roman"/>
        </w:rPr>
        <w:t>A</w:t>
      </w:r>
      <w:r w:rsidRPr="00C71E80">
        <w:rPr>
          <w:rFonts w:ascii="Times New Roman" w:hAnsi="Times New Roman"/>
        </w:rPr>
        <w:t xml:space="preserve">xis in </w:t>
      </w:r>
      <w:r w:rsidR="003643EB">
        <w:rPr>
          <w:rFonts w:ascii="Times New Roman" w:hAnsi="Times New Roman"/>
        </w:rPr>
        <w:t>M</w:t>
      </w:r>
      <w:r w:rsidRPr="00C71E80">
        <w:rPr>
          <w:rFonts w:ascii="Times New Roman" w:hAnsi="Times New Roman"/>
        </w:rPr>
        <w:t xml:space="preserve">an. </w:t>
      </w:r>
      <w:proofErr w:type="spellStart"/>
      <w:r w:rsidRPr="00C71E80">
        <w:rPr>
          <w:rFonts w:ascii="Times New Roman" w:hAnsi="Times New Roman"/>
        </w:rPr>
        <w:t>Psychoneuroendocrinology</w:t>
      </w:r>
      <w:proofErr w:type="spellEnd"/>
      <w:r w:rsidRPr="00C71E80">
        <w:rPr>
          <w:rFonts w:ascii="Times New Roman" w:hAnsi="Times New Roman"/>
        </w:rPr>
        <w:t xml:space="preserve">. 30(8):807–814. </w:t>
      </w:r>
    </w:p>
    <w:p w14:paraId="735ECB2C" w14:textId="10A62DD4" w:rsidR="00263E2C" w:rsidRPr="00C71E80" w:rsidRDefault="00263E2C" w:rsidP="00263E2C">
      <w:pPr>
        <w:pStyle w:val="Bibliography"/>
        <w:rPr>
          <w:rFonts w:ascii="Times New Roman" w:hAnsi="Times New Roman"/>
        </w:rPr>
      </w:pPr>
      <w:r w:rsidRPr="00C71E80">
        <w:rPr>
          <w:rFonts w:ascii="Times New Roman" w:hAnsi="Times New Roman"/>
        </w:rPr>
        <w:lastRenderedPageBreak/>
        <w:t xml:space="preserve">Zhang K, Xu T, Yuan Z, Wei Z, </w:t>
      </w:r>
      <w:proofErr w:type="spellStart"/>
      <w:r w:rsidRPr="00C71E80">
        <w:rPr>
          <w:rFonts w:ascii="Times New Roman" w:hAnsi="Times New Roman"/>
        </w:rPr>
        <w:t>Yamaki</w:t>
      </w:r>
      <w:proofErr w:type="spellEnd"/>
      <w:r w:rsidRPr="00C71E80">
        <w:rPr>
          <w:rFonts w:ascii="Times New Roman" w:hAnsi="Times New Roman"/>
        </w:rPr>
        <w:t xml:space="preserve"> N, Huang M, </w:t>
      </w:r>
      <w:proofErr w:type="spellStart"/>
      <w:r w:rsidRPr="00C71E80">
        <w:rPr>
          <w:rFonts w:ascii="Times New Roman" w:hAnsi="Times New Roman"/>
        </w:rPr>
        <w:t>Huganir</w:t>
      </w:r>
      <w:proofErr w:type="spellEnd"/>
      <w:r w:rsidRPr="00C71E80">
        <w:rPr>
          <w:rFonts w:ascii="Times New Roman" w:hAnsi="Times New Roman"/>
        </w:rPr>
        <w:t xml:space="preserve"> L, Cai X. 2016. Essential </w:t>
      </w:r>
      <w:r w:rsidR="003643EB">
        <w:rPr>
          <w:rFonts w:ascii="Times New Roman" w:hAnsi="Times New Roman"/>
        </w:rPr>
        <w:t>R</w:t>
      </w:r>
      <w:r w:rsidRPr="00C71E80">
        <w:rPr>
          <w:rFonts w:ascii="Times New Roman" w:hAnsi="Times New Roman"/>
        </w:rPr>
        <w:t xml:space="preserve">oles of AMPA </w:t>
      </w:r>
      <w:r w:rsidR="003643EB">
        <w:rPr>
          <w:rFonts w:ascii="Times New Roman" w:hAnsi="Times New Roman"/>
        </w:rPr>
        <w:t>R</w:t>
      </w:r>
      <w:r w:rsidRPr="00C71E80">
        <w:rPr>
          <w:rFonts w:ascii="Times New Roman" w:hAnsi="Times New Roman"/>
        </w:rPr>
        <w:t xml:space="preserve">eceptor GluA1 </w:t>
      </w:r>
      <w:r w:rsidR="003643EB">
        <w:rPr>
          <w:rFonts w:ascii="Times New Roman" w:hAnsi="Times New Roman"/>
        </w:rPr>
        <w:t>P</w:t>
      </w:r>
      <w:r w:rsidRPr="00C71E80">
        <w:rPr>
          <w:rFonts w:ascii="Times New Roman" w:hAnsi="Times New Roman"/>
        </w:rPr>
        <w:t xml:space="preserve">hosphorylation and </w:t>
      </w:r>
      <w:r w:rsidR="003643EB">
        <w:rPr>
          <w:rFonts w:ascii="Times New Roman" w:hAnsi="Times New Roman"/>
        </w:rPr>
        <w:t>P</w:t>
      </w:r>
      <w:r w:rsidRPr="00C71E80">
        <w:rPr>
          <w:rFonts w:ascii="Times New Roman" w:hAnsi="Times New Roman"/>
        </w:rPr>
        <w:t xml:space="preserve">resynaptic HCN </w:t>
      </w:r>
      <w:r w:rsidR="003643EB">
        <w:rPr>
          <w:rFonts w:ascii="Times New Roman" w:hAnsi="Times New Roman"/>
        </w:rPr>
        <w:t>C</w:t>
      </w:r>
      <w:r w:rsidRPr="00C71E80">
        <w:rPr>
          <w:rFonts w:ascii="Times New Roman" w:hAnsi="Times New Roman"/>
        </w:rPr>
        <w:t xml:space="preserve">hannels in </w:t>
      </w:r>
      <w:r w:rsidR="003643EB">
        <w:rPr>
          <w:rFonts w:ascii="Times New Roman" w:hAnsi="Times New Roman"/>
        </w:rPr>
        <w:t>F</w:t>
      </w:r>
      <w:r w:rsidRPr="00C71E80">
        <w:rPr>
          <w:rFonts w:ascii="Times New Roman" w:hAnsi="Times New Roman"/>
        </w:rPr>
        <w:t>ast-</w:t>
      </w:r>
      <w:r w:rsidR="003643EB">
        <w:rPr>
          <w:rFonts w:ascii="Times New Roman" w:hAnsi="Times New Roman"/>
        </w:rPr>
        <w:t>A</w:t>
      </w:r>
      <w:r w:rsidRPr="00C71E80">
        <w:rPr>
          <w:rFonts w:ascii="Times New Roman" w:hAnsi="Times New Roman"/>
        </w:rPr>
        <w:t xml:space="preserve">cting </w:t>
      </w:r>
      <w:r w:rsidR="003643EB">
        <w:rPr>
          <w:rFonts w:ascii="Times New Roman" w:hAnsi="Times New Roman"/>
        </w:rPr>
        <w:t>A</w:t>
      </w:r>
      <w:r w:rsidRPr="00C71E80">
        <w:rPr>
          <w:rFonts w:ascii="Times New Roman" w:hAnsi="Times New Roman"/>
        </w:rPr>
        <w:t xml:space="preserve">ntidepressant </w:t>
      </w:r>
      <w:r w:rsidR="003643EB">
        <w:rPr>
          <w:rFonts w:ascii="Times New Roman" w:hAnsi="Times New Roman"/>
        </w:rPr>
        <w:t>R</w:t>
      </w:r>
      <w:r w:rsidRPr="00C71E80">
        <w:rPr>
          <w:rFonts w:ascii="Times New Roman" w:hAnsi="Times New Roman"/>
        </w:rPr>
        <w:t xml:space="preserve">esponses of </w:t>
      </w:r>
      <w:r w:rsidR="003643EB">
        <w:rPr>
          <w:rFonts w:ascii="Times New Roman" w:hAnsi="Times New Roman"/>
        </w:rPr>
        <w:t>K</w:t>
      </w:r>
      <w:r w:rsidRPr="00C71E80">
        <w:rPr>
          <w:rFonts w:ascii="Times New Roman" w:hAnsi="Times New Roman"/>
        </w:rPr>
        <w:t xml:space="preserve">etamine. Sci Signal. 9(458):ra123–ra123. </w:t>
      </w:r>
    </w:p>
    <w:p w14:paraId="16A5534B" w14:textId="69BB1594" w:rsidR="00263E2C" w:rsidRPr="00C71E80" w:rsidRDefault="00263E2C" w:rsidP="00263E2C">
      <w:pPr>
        <w:pStyle w:val="Bibliography"/>
        <w:rPr>
          <w:rFonts w:ascii="Times New Roman" w:hAnsi="Times New Roman"/>
        </w:rPr>
      </w:pPr>
      <w:r w:rsidRPr="00C71E80">
        <w:rPr>
          <w:rFonts w:ascii="Times New Roman" w:hAnsi="Times New Roman"/>
        </w:rPr>
        <w:t xml:space="preserve">Zhou C, </w:t>
      </w:r>
      <w:proofErr w:type="spellStart"/>
      <w:r w:rsidRPr="00C71E80">
        <w:rPr>
          <w:rFonts w:ascii="Times New Roman" w:hAnsi="Times New Roman"/>
        </w:rPr>
        <w:t>Xue</w:t>
      </w:r>
      <w:proofErr w:type="spellEnd"/>
      <w:r w:rsidRPr="00C71E80">
        <w:rPr>
          <w:rFonts w:ascii="Times New Roman" w:hAnsi="Times New Roman"/>
        </w:rPr>
        <w:t xml:space="preserve"> F, </w:t>
      </w:r>
      <w:proofErr w:type="spellStart"/>
      <w:r w:rsidRPr="00C71E80">
        <w:rPr>
          <w:rFonts w:ascii="Times New Roman" w:hAnsi="Times New Roman"/>
        </w:rPr>
        <w:t>Xue</w:t>
      </w:r>
      <w:proofErr w:type="spellEnd"/>
      <w:r w:rsidRPr="00C71E80">
        <w:rPr>
          <w:rFonts w:ascii="Times New Roman" w:hAnsi="Times New Roman"/>
        </w:rPr>
        <w:t xml:space="preserve"> S, Sang H, Liu L, Wang Y, Cai M, Zhang J, Tan Q, Wang H, et al. 2019. Electroacupuncture Pretreatment Ameliorates PTSD-Like Behaviors in Rats by Enhancing Hippocampal Neurogenesis via the Keap1/Nrf2 Antioxidant Signaling Pathway. Front Cell </w:t>
      </w:r>
      <w:proofErr w:type="spellStart"/>
      <w:r w:rsidRPr="00C71E80">
        <w:rPr>
          <w:rFonts w:ascii="Times New Roman" w:hAnsi="Times New Roman"/>
        </w:rPr>
        <w:t>Neurosci</w:t>
      </w:r>
      <w:proofErr w:type="spellEnd"/>
      <w:r w:rsidRPr="00C71E80">
        <w:rPr>
          <w:rFonts w:ascii="Times New Roman" w:hAnsi="Times New Roman"/>
        </w:rPr>
        <w:t xml:space="preserve">. 13:275. </w:t>
      </w:r>
    </w:p>
    <w:p w14:paraId="78AF2510" w14:textId="1FCAA958" w:rsidR="00ED2971" w:rsidRPr="00C71E80" w:rsidRDefault="0019454F" w:rsidP="007A1D40">
      <w:pPr>
        <w:spacing w:line="480" w:lineRule="auto"/>
        <w:rPr>
          <w:b/>
          <w:bCs/>
        </w:rPr>
      </w:pPr>
      <w:r w:rsidRPr="00C71E80">
        <w:rPr>
          <w:b/>
          <w:bCs/>
        </w:rPr>
        <w:fldChar w:fldCharType="end"/>
      </w:r>
    </w:p>
    <w:p w14:paraId="72F268FA" w14:textId="77777777" w:rsidR="007E1701" w:rsidRPr="007E1701" w:rsidRDefault="007E1701" w:rsidP="007A1D40">
      <w:pPr>
        <w:spacing w:line="480" w:lineRule="auto"/>
      </w:pPr>
    </w:p>
    <w:p w14:paraId="58B2344F" w14:textId="77777777" w:rsidR="007E1701" w:rsidRPr="007E1701" w:rsidRDefault="007E1701" w:rsidP="007A1D40">
      <w:pPr>
        <w:spacing w:line="480" w:lineRule="auto"/>
      </w:pPr>
    </w:p>
    <w:p w14:paraId="478D8D58" w14:textId="77777777" w:rsidR="001E66A5" w:rsidRPr="001E66A5" w:rsidRDefault="001E66A5" w:rsidP="007A1D40">
      <w:pPr>
        <w:spacing w:line="480" w:lineRule="auto"/>
      </w:pPr>
    </w:p>
    <w:p w14:paraId="1C745039" w14:textId="77777777" w:rsidR="00D10AB8" w:rsidRPr="00D10AB8" w:rsidRDefault="00D10AB8" w:rsidP="007A1D40">
      <w:pPr>
        <w:spacing w:line="480" w:lineRule="auto"/>
      </w:pPr>
    </w:p>
    <w:p w14:paraId="353659B9" w14:textId="77777777" w:rsidR="009D52A2" w:rsidRPr="009D52A2" w:rsidRDefault="009D52A2" w:rsidP="007A1D40">
      <w:pPr>
        <w:autoSpaceDE w:val="0"/>
        <w:autoSpaceDN w:val="0"/>
        <w:adjustRightInd w:val="0"/>
        <w:spacing w:line="480" w:lineRule="auto"/>
      </w:pPr>
    </w:p>
    <w:p w14:paraId="011CDED6" w14:textId="77777777" w:rsidR="002A6681" w:rsidRPr="002A6681" w:rsidRDefault="002A6681" w:rsidP="007A1D40">
      <w:pPr>
        <w:pStyle w:val="Default"/>
        <w:spacing w:line="480" w:lineRule="auto"/>
        <w:rPr>
          <w:rFonts w:ascii="Times New Roman" w:hAnsi="Times New Roman" w:cs="Times New Roman"/>
        </w:rPr>
      </w:pPr>
    </w:p>
    <w:p w14:paraId="4B9D55F0" w14:textId="77777777" w:rsidR="006A17FA" w:rsidRPr="00B53C69" w:rsidRDefault="006A17FA" w:rsidP="007A1D40">
      <w:pPr>
        <w:autoSpaceDE w:val="0"/>
        <w:autoSpaceDN w:val="0"/>
        <w:adjustRightInd w:val="0"/>
        <w:spacing w:line="480" w:lineRule="auto"/>
        <w:rPr>
          <w:color w:val="000000"/>
        </w:rPr>
      </w:pPr>
    </w:p>
    <w:sectPr w:rsidR="006A17FA" w:rsidRPr="00B53C69" w:rsidSect="005E5D45">
      <w:headerReference w:type="even" r:id="rId14"/>
      <w:headerReference w:type="default" r:id="rId15"/>
      <w:headerReference w:type="first" r:id="rId1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687092" w14:textId="77777777" w:rsidR="00DF0CE9" w:rsidRDefault="00DF0CE9" w:rsidP="008032EB">
      <w:r>
        <w:separator/>
      </w:r>
    </w:p>
  </w:endnote>
  <w:endnote w:type="continuationSeparator" w:id="0">
    <w:p w14:paraId="569D5E6A" w14:textId="77777777" w:rsidR="00DF0CE9" w:rsidRDefault="00DF0CE9" w:rsidP="00803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Minion Pro">
    <w:altName w:val="Cambria"/>
    <w:panose1 w:val="020B0604020202020204"/>
    <w:charset w:val="00"/>
    <w:family w:val="roman"/>
    <w:notTrueType/>
    <w:pitch w:val="default"/>
    <w:sig w:usb0="00000003" w:usb1="00000000" w:usb2="00000000" w:usb3="00000000" w:csb0="00000001" w:csb1="00000000"/>
  </w:font>
  <w:font w:name="Times">
    <w:altName w:val="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21D840" w14:textId="77777777" w:rsidR="00DF0CE9" w:rsidRDefault="00DF0CE9" w:rsidP="008032EB">
      <w:r>
        <w:separator/>
      </w:r>
    </w:p>
  </w:footnote>
  <w:footnote w:type="continuationSeparator" w:id="0">
    <w:p w14:paraId="2ED0F49E" w14:textId="77777777" w:rsidR="00DF0CE9" w:rsidRDefault="00DF0CE9" w:rsidP="008032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36047140"/>
      <w:docPartObj>
        <w:docPartGallery w:val="Page Numbers (Top of Page)"/>
        <w:docPartUnique/>
      </w:docPartObj>
    </w:sdtPr>
    <w:sdtEndPr>
      <w:rPr>
        <w:rStyle w:val="PageNumber"/>
      </w:rPr>
    </w:sdtEndPr>
    <w:sdtContent>
      <w:p w14:paraId="2616ACA5" w14:textId="7FA3B46B" w:rsidR="00FD2948" w:rsidRDefault="00FD2948" w:rsidP="0034393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E574C4A" w14:textId="77777777" w:rsidR="00FD2948" w:rsidRDefault="00FD2948" w:rsidP="00FD294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Times New Roman" w:hAnsi="Times New Roman"/>
        <w:sz w:val="28"/>
        <w:szCs w:val="28"/>
      </w:rPr>
      <w:id w:val="-724607052"/>
      <w:docPartObj>
        <w:docPartGallery w:val="Page Numbers (Top of Page)"/>
        <w:docPartUnique/>
      </w:docPartObj>
    </w:sdtPr>
    <w:sdtEndPr>
      <w:rPr>
        <w:rStyle w:val="PageNumber"/>
      </w:rPr>
    </w:sdtEndPr>
    <w:sdtContent>
      <w:p w14:paraId="532DA12E" w14:textId="389163CC" w:rsidR="00FD2948" w:rsidRPr="001443D8" w:rsidRDefault="00FD2948" w:rsidP="00343937">
        <w:pPr>
          <w:pStyle w:val="Header"/>
          <w:framePr w:wrap="none" w:vAnchor="text" w:hAnchor="margin" w:xAlign="right" w:y="1"/>
          <w:rPr>
            <w:rStyle w:val="PageNumber"/>
            <w:rFonts w:ascii="Times New Roman" w:hAnsi="Times New Roman"/>
            <w:sz w:val="28"/>
            <w:szCs w:val="28"/>
          </w:rPr>
        </w:pPr>
        <w:r w:rsidRPr="001443D8">
          <w:rPr>
            <w:rStyle w:val="PageNumber"/>
            <w:rFonts w:ascii="Times New Roman" w:hAnsi="Times New Roman"/>
            <w:sz w:val="28"/>
            <w:szCs w:val="28"/>
          </w:rPr>
          <w:fldChar w:fldCharType="begin"/>
        </w:r>
        <w:r w:rsidRPr="001443D8">
          <w:rPr>
            <w:rStyle w:val="PageNumber"/>
            <w:rFonts w:ascii="Times New Roman" w:hAnsi="Times New Roman"/>
            <w:sz w:val="28"/>
            <w:szCs w:val="28"/>
          </w:rPr>
          <w:instrText xml:space="preserve"> PAGE </w:instrText>
        </w:r>
        <w:r w:rsidRPr="001443D8">
          <w:rPr>
            <w:rStyle w:val="PageNumber"/>
            <w:rFonts w:ascii="Times New Roman" w:hAnsi="Times New Roman"/>
            <w:sz w:val="28"/>
            <w:szCs w:val="28"/>
          </w:rPr>
          <w:fldChar w:fldCharType="separate"/>
        </w:r>
        <w:r w:rsidRPr="001443D8">
          <w:rPr>
            <w:rStyle w:val="PageNumber"/>
            <w:rFonts w:ascii="Times New Roman" w:hAnsi="Times New Roman"/>
            <w:noProof/>
            <w:sz w:val="28"/>
            <w:szCs w:val="28"/>
          </w:rPr>
          <w:t>2</w:t>
        </w:r>
        <w:r w:rsidRPr="001443D8">
          <w:rPr>
            <w:rStyle w:val="PageNumber"/>
            <w:rFonts w:ascii="Times New Roman" w:hAnsi="Times New Roman"/>
            <w:sz w:val="28"/>
            <w:szCs w:val="28"/>
          </w:rPr>
          <w:fldChar w:fldCharType="end"/>
        </w:r>
      </w:p>
    </w:sdtContent>
  </w:sdt>
  <w:p w14:paraId="45AE84E8" w14:textId="23EB4C39" w:rsidR="00FD2948" w:rsidRPr="001443D8" w:rsidRDefault="005E5D45" w:rsidP="005E5D45">
    <w:pPr>
      <w:pStyle w:val="Header"/>
      <w:ind w:right="360"/>
      <w:jc w:val="right"/>
      <w:rPr>
        <w:rFonts w:ascii="Times New Roman" w:hAnsi="Times New Roman"/>
        <w:sz w:val="28"/>
        <w:szCs w:val="28"/>
      </w:rPr>
    </w:pPr>
    <w:r w:rsidRPr="001443D8">
      <w:rPr>
        <w:rFonts w:ascii="Times New Roman" w:hAnsi="Times New Roman"/>
        <w:sz w:val="28"/>
        <w:szCs w:val="28"/>
      </w:rPr>
      <w:t>Park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26F75" w14:textId="22E4A5F8" w:rsidR="00C20BD1" w:rsidRDefault="00C20BD1" w:rsidP="008032EB">
    <w:pPr>
      <w:pStyle w:val="Header"/>
      <w:spacing w:line="48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7D64BE"/>
    <w:multiLevelType w:val="multilevel"/>
    <w:tmpl w:val="56CA04E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5D2D4A39"/>
    <w:multiLevelType w:val="hybridMultilevel"/>
    <w:tmpl w:val="776CD0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AB50300"/>
    <w:multiLevelType w:val="hybridMultilevel"/>
    <w:tmpl w:val="7234C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F70CF5"/>
    <w:multiLevelType w:val="hybridMultilevel"/>
    <w:tmpl w:val="69E87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FA20F3"/>
    <w:multiLevelType w:val="hybridMultilevel"/>
    <w:tmpl w:val="5E36B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2EB"/>
    <w:rsid w:val="00001771"/>
    <w:rsid w:val="000038BC"/>
    <w:rsid w:val="00004F72"/>
    <w:rsid w:val="00005D09"/>
    <w:rsid w:val="0000633A"/>
    <w:rsid w:val="00006CD7"/>
    <w:rsid w:val="00012332"/>
    <w:rsid w:val="00012628"/>
    <w:rsid w:val="000144B2"/>
    <w:rsid w:val="00014512"/>
    <w:rsid w:val="00014D7D"/>
    <w:rsid w:val="00014F02"/>
    <w:rsid w:val="00021C12"/>
    <w:rsid w:val="000259B1"/>
    <w:rsid w:val="0002628D"/>
    <w:rsid w:val="0002696F"/>
    <w:rsid w:val="00027355"/>
    <w:rsid w:val="00027C5C"/>
    <w:rsid w:val="00035B12"/>
    <w:rsid w:val="00035BD8"/>
    <w:rsid w:val="000361A8"/>
    <w:rsid w:val="0003695B"/>
    <w:rsid w:val="00037955"/>
    <w:rsid w:val="0003797B"/>
    <w:rsid w:val="00041990"/>
    <w:rsid w:val="000424B1"/>
    <w:rsid w:val="000443BA"/>
    <w:rsid w:val="0004503E"/>
    <w:rsid w:val="00045C44"/>
    <w:rsid w:val="00047D2E"/>
    <w:rsid w:val="00050B34"/>
    <w:rsid w:val="00051327"/>
    <w:rsid w:val="0005250C"/>
    <w:rsid w:val="000535AA"/>
    <w:rsid w:val="000538A8"/>
    <w:rsid w:val="0005406D"/>
    <w:rsid w:val="00054273"/>
    <w:rsid w:val="00054591"/>
    <w:rsid w:val="00056E1C"/>
    <w:rsid w:val="00057A1C"/>
    <w:rsid w:val="00060B9D"/>
    <w:rsid w:val="000613E0"/>
    <w:rsid w:val="00061631"/>
    <w:rsid w:val="00065DE5"/>
    <w:rsid w:val="00067690"/>
    <w:rsid w:val="00067F32"/>
    <w:rsid w:val="000740C1"/>
    <w:rsid w:val="00075974"/>
    <w:rsid w:val="00077677"/>
    <w:rsid w:val="0008009C"/>
    <w:rsid w:val="0008141C"/>
    <w:rsid w:val="00086E86"/>
    <w:rsid w:val="00090E46"/>
    <w:rsid w:val="00091DFC"/>
    <w:rsid w:val="000930E5"/>
    <w:rsid w:val="00093472"/>
    <w:rsid w:val="00093B5C"/>
    <w:rsid w:val="00095358"/>
    <w:rsid w:val="00095D59"/>
    <w:rsid w:val="00096379"/>
    <w:rsid w:val="00096BEC"/>
    <w:rsid w:val="00096C14"/>
    <w:rsid w:val="000A243F"/>
    <w:rsid w:val="000A5153"/>
    <w:rsid w:val="000B0EFD"/>
    <w:rsid w:val="000B1D1E"/>
    <w:rsid w:val="000B2104"/>
    <w:rsid w:val="000B30BF"/>
    <w:rsid w:val="000B4BCF"/>
    <w:rsid w:val="000B6DCA"/>
    <w:rsid w:val="000C0CC1"/>
    <w:rsid w:val="000C1C81"/>
    <w:rsid w:val="000C3B9B"/>
    <w:rsid w:val="000C5F49"/>
    <w:rsid w:val="000C76DB"/>
    <w:rsid w:val="000C7831"/>
    <w:rsid w:val="000D06A1"/>
    <w:rsid w:val="000D51F4"/>
    <w:rsid w:val="000D533B"/>
    <w:rsid w:val="000E113C"/>
    <w:rsid w:val="000E26E9"/>
    <w:rsid w:val="000E4C15"/>
    <w:rsid w:val="000E7B4A"/>
    <w:rsid w:val="000F0603"/>
    <w:rsid w:val="000F2FC3"/>
    <w:rsid w:val="000F438F"/>
    <w:rsid w:val="000F4518"/>
    <w:rsid w:val="000F4771"/>
    <w:rsid w:val="000F6B78"/>
    <w:rsid w:val="000F7C32"/>
    <w:rsid w:val="0010119A"/>
    <w:rsid w:val="00102386"/>
    <w:rsid w:val="00103BC7"/>
    <w:rsid w:val="00104CFA"/>
    <w:rsid w:val="001063B2"/>
    <w:rsid w:val="001065D8"/>
    <w:rsid w:val="00110800"/>
    <w:rsid w:val="00111275"/>
    <w:rsid w:val="00112476"/>
    <w:rsid w:val="00114F9F"/>
    <w:rsid w:val="0011527C"/>
    <w:rsid w:val="00115523"/>
    <w:rsid w:val="001158B3"/>
    <w:rsid w:val="00117082"/>
    <w:rsid w:val="00117658"/>
    <w:rsid w:val="001178AF"/>
    <w:rsid w:val="00117B3A"/>
    <w:rsid w:val="001210F8"/>
    <w:rsid w:val="001239A8"/>
    <w:rsid w:val="00126670"/>
    <w:rsid w:val="00127378"/>
    <w:rsid w:val="00131A0D"/>
    <w:rsid w:val="00134BF8"/>
    <w:rsid w:val="00135818"/>
    <w:rsid w:val="001365A6"/>
    <w:rsid w:val="001372E2"/>
    <w:rsid w:val="00137E52"/>
    <w:rsid w:val="00142300"/>
    <w:rsid w:val="001423ED"/>
    <w:rsid w:val="00142BD1"/>
    <w:rsid w:val="0014357F"/>
    <w:rsid w:val="001443D8"/>
    <w:rsid w:val="00146403"/>
    <w:rsid w:val="0015002B"/>
    <w:rsid w:val="00150F57"/>
    <w:rsid w:val="001510DE"/>
    <w:rsid w:val="001512FC"/>
    <w:rsid w:val="0015243E"/>
    <w:rsid w:val="00156862"/>
    <w:rsid w:val="001604CE"/>
    <w:rsid w:val="00160758"/>
    <w:rsid w:val="00161B82"/>
    <w:rsid w:val="00161E59"/>
    <w:rsid w:val="00162B01"/>
    <w:rsid w:val="00163118"/>
    <w:rsid w:val="00163B03"/>
    <w:rsid w:val="00164370"/>
    <w:rsid w:val="001645F1"/>
    <w:rsid w:val="00165FAF"/>
    <w:rsid w:val="00167688"/>
    <w:rsid w:val="001679EA"/>
    <w:rsid w:val="00167BF3"/>
    <w:rsid w:val="00167DFD"/>
    <w:rsid w:val="00167F56"/>
    <w:rsid w:val="00170999"/>
    <w:rsid w:val="00172993"/>
    <w:rsid w:val="00172EAF"/>
    <w:rsid w:val="00174115"/>
    <w:rsid w:val="001749E1"/>
    <w:rsid w:val="00174ADD"/>
    <w:rsid w:val="00176EA5"/>
    <w:rsid w:val="00177DD9"/>
    <w:rsid w:val="00180B56"/>
    <w:rsid w:val="001814F7"/>
    <w:rsid w:val="00181E0C"/>
    <w:rsid w:val="001832F3"/>
    <w:rsid w:val="00184275"/>
    <w:rsid w:val="00186249"/>
    <w:rsid w:val="001876EB"/>
    <w:rsid w:val="0018775B"/>
    <w:rsid w:val="00190963"/>
    <w:rsid w:val="00191B15"/>
    <w:rsid w:val="00191D6F"/>
    <w:rsid w:val="00192CD3"/>
    <w:rsid w:val="00194503"/>
    <w:rsid w:val="0019454F"/>
    <w:rsid w:val="00194C79"/>
    <w:rsid w:val="00196E50"/>
    <w:rsid w:val="00196F63"/>
    <w:rsid w:val="00197E58"/>
    <w:rsid w:val="001A0BB9"/>
    <w:rsid w:val="001A1490"/>
    <w:rsid w:val="001A2167"/>
    <w:rsid w:val="001A589D"/>
    <w:rsid w:val="001A7EBD"/>
    <w:rsid w:val="001B0BFC"/>
    <w:rsid w:val="001B5238"/>
    <w:rsid w:val="001B5C53"/>
    <w:rsid w:val="001B5D81"/>
    <w:rsid w:val="001B641F"/>
    <w:rsid w:val="001B6698"/>
    <w:rsid w:val="001B6CC5"/>
    <w:rsid w:val="001C1DF8"/>
    <w:rsid w:val="001C2F37"/>
    <w:rsid w:val="001C3979"/>
    <w:rsid w:val="001D03D3"/>
    <w:rsid w:val="001D1413"/>
    <w:rsid w:val="001D1C0B"/>
    <w:rsid w:val="001D241E"/>
    <w:rsid w:val="001D5318"/>
    <w:rsid w:val="001D688F"/>
    <w:rsid w:val="001D68CC"/>
    <w:rsid w:val="001E009C"/>
    <w:rsid w:val="001E0BB8"/>
    <w:rsid w:val="001E202D"/>
    <w:rsid w:val="001E3FAD"/>
    <w:rsid w:val="001E41C5"/>
    <w:rsid w:val="001E66A5"/>
    <w:rsid w:val="001E7B05"/>
    <w:rsid w:val="001F03E0"/>
    <w:rsid w:val="001F0C5F"/>
    <w:rsid w:val="001F139E"/>
    <w:rsid w:val="001F258D"/>
    <w:rsid w:val="001F25B0"/>
    <w:rsid w:val="001F402B"/>
    <w:rsid w:val="001F494A"/>
    <w:rsid w:val="001F52B3"/>
    <w:rsid w:val="001F5440"/>
    <w:rsid w:val="001F6598"/>
    <w:rsid w:val="001F7BA1"/>
    <w:rsid w:val="00200B4A"/>
    <w:rsid w:val="00201424"/>
    <w:rsid w:val="002015DF"/>
    <w:rsid w:val="002023A7"/>
    <w:rsid w:val="00202DF5"/>
    <w:rsid w:val="00205656"/>
    <w:rsid w:val="00206112"/>
    <w:rsid w:val="002063E4"/>
    <w:rsid w:val="002067EC"/>
    <w:rsid w:val="00210A17"/>
    <w:rsid w:val="00211B6C"/>
    <w:rsid w:val="00212B21"/>
    <w:rsid w:val="00213D32"/>
    <w:rsid w:val="002147FF"/>
    <w:rsid w:val="00215703"/>
    <w:rsid w:val="00215C6D"/>
    <w:rsid w:val="002170DA"/>
    <w:rsid w:val="00220F80"/>
    <w:rsid w:val="00221E28"/>
    <w:rsid w:val="0022201A"/>
    <w:rsid w:val="002232EB"/>
    <w:rsid w:val="00223D68"/>
    <w:rsid w:val="00224B3F"/>
    <w:rsid w:val="00230053"/>
    <w:rsid w:val="002321CB"/>
    <w:rsid w:val="002327C9"/>
    <w:rsid w:val="00233396"/>
    <w:rsid w:val="00240159"/>
    <w:rsid w:val="002410CA"/>
    <w:rsid w:val="002413EF"/>
    <w:rsid w:val="002418F6"/>
    <w:rsid w:val="00241F70"/>
    <w:rsid w:val="00242139"/>
    <w:rsid w:val="0024364F"/>
    <w:rsid w:val="00246DA5"/>
    <w:rsid w:val="002552B9"/>
    <w:rsid w:val="002561A5"/>
    <w:rsid w:val="0025620F"/>
    <w:rsid w:val="00257AD0"/>
    <w:rsid w:val="00263E2C"/>
    <w:rsid w:val="0026545E"/>
    <w:rsid w:val="002655AD"/>
    <w:rsid w:val="002668F3"/>
    <w:rsid w:val="00266A00"/>
    <w:rsid w:val="002678F2"/>
    <w:rsid w:val="00270DEE"/>
    <w:rsid w:val="00271D41"/>
    <w:rsid w:val="002725ED"/>
    <w:rsid w:val="00272FC4"/>
    <w:rsid w:val="002737C1"/>
    <w:rsid w:val="00273D3B"/>
    <w:rsid w:val="00275F0C"/>
    <w:rsid w:val="002775BF"/>
    <w:rsid w:val="0028012B"/>
    <w:rsid w:val="00280666"/>
    <w:rsid w:val="002807B2"/>
    <w:rsid w:val="00283FA5"/>
    <w:rsid w:val="00285BE9"/>
    <w:rsid w:val="00287011"/>
    <w:rsid w:val="002877C4"/>
    <w:rsid w:val="00287891"/>
    <w:rsid w:val="00291549"/>
    <w:rsid w:val="00292D74"/>
    <w:rsid w:val="002975B4"/>
    <w:rsid w:val="002A09D8"/>
    <w:rsid w:val="002A16FB"/>
    <w:rsid w:val="002A5C50"/>
    <w:rsid w:val="002A6681"/>
    <w:rsid w:val="002B0870"/>
    <w:rsid w:val="002B2465"/>
    <w:rsid w:val="002B38FF"/>
    <w:rsid w:val="002B4A0F"/>
    <w:rsid w:val="002B669D"/>
    <w:rsid w:val="002B7CDE"/>
    <w:rsid w:val="002C2597"/>
    <w:rsid w:val="002C4A94"/>
    <w:rsid w:val="002C5123"/>
    <w:rsid w:val="002C5A16"/>
    <w:rsid w:val="002D04C0"/>
    <w:rsid w:val="002D17D4"/>
    <w:rsid w:val="002D292C"/>
    <w:rsid w:val="002E1E25"/>
    <w:rsid w:val="002E29A1"/>
    <w:rsid w:val="002E4358"/>
    <w:rsid w:val="002E6465"/>
    <w:rsid w:val="002F08AC"/>
    <w:rsid w:val="002F0930"/>
    <w:rsid w:val="002F0FFE"/>
    <w:rsid w:val="002F3FEF"/>
    <w:rsid w:val="002F6A45"/>
    <w:rsid w:val="003007C9"/>
    <w:rsid w:val="0030161D"/>
    <w:rsid w:val="0030324D"/>
    <w:rsid w:val="00304FBA"/>
    <w:rsid w:val="0030532E"/>
    <w:rsid w:val="00305378"/>
    <w:rsid w:val="00306D7E"/>
    <w:rsid w:val="0030734C"/>
    <w:rsid w:val="00307768"/>
    <w:rsid w:val="00310B13"/>
    <w:rsid w:val="00310EF2"/>
    <w:rsid w:val="003120CD"/>
    <w:rsid w:val="003126EA"/>
    <w:rsid w:val="00312B79"/>
    <w:rsid w:val="0031332E"/>
    <w:rsid w:val="00315C28"/>
    <w:rsid w:val="00320B09"/>
    <w:rsid w:val="00323078"/>
    <w:rsid w:val="0032356F"/>
    <w:rsid w:val="003238B2"/>
    <w:rsid w:val="003250EF"/>
    <w:rsid w:val="00327669"/>
    <w:rsid w:val="003310FE"/>
    <w:rsid w:val="003332D0"/>
    <w:rsid w:val="00335C4F"/>
    <w:rsid w:val="003367FD"/>
    <w:rsid w:val="00336A7C"/>
    <w:rsid w:val="00340320"/>
    <w:rsid w:val="00340B4B"/>
    <w:rsid w:val="00341475"/>
    <w:rsid w:val="00343196"/>
    <w:rsid w:val="00343409"/>
    <w:rsid w:val="00350495"/>
    <w:rsid w:val="003520FF"/>
    <w:rsid w:val="00353912"/>
    <w:rsid w:val="00357FA0"/>
    <w:rsid w:val="003617EA"/>
    <w:rsid w:val="00361EDA"/>
    <w:rsid w:val="003622C1"/>
    <w:rsid w:val="00362349"/>
    <w:rsid w:val="003624BF"/>
    <w:rsid w:val="00362622"/>
    <w:rsid w:val="003626A7"/>
    <w:rsid w:val="00362898"/>
    <w:rsid w:val="00362D82"/>
    <w:rsid w:val="003632E3"/>
    <w:rsid w:val="003643EB"/>
    <w:rsid w:val="00364666"/>
    <w:rsid w:val="00365617"/>
    <w:rsid w:val="00365FEA"/>
    <w:rsid w:val="00366F3E"/>
    <w:rsid w:val="00367703"/>
    <w:rsid w:val="00367BCA"/>
    <w:rsid w:val="00371779"/>
    <w:rsid w:val="00373FF9"/>
    <w:rsid w:val="00376A1F"/>
    <w:rsid w:val="00377A77"/>
    <w:rsid w:val="00377B8D"/>
    <w:rsid w:val="00382E07"/>
    <w:rsid w:val="00385953"/>
    <w:rsid w:val="00387A7C"/>
    <w:rsid w:val="00387FC4"/>
    <w:rsid w:val="003909D2"/>
    <w:rsid w:val="00390FBD"/>
    <w:rsid w:val="00391605"/>
    <w:rsid w:val="003934CC"/>
    <w:rsid w:val="00393DA5"/>
    <w:rsid w:val="00394979"/>
    <w:rsid w:val="00396B4E"/>
    <w:rsid w:val="003A178B"/>
    <w:rsid w:val="003A293F"/>
    <w:rsid w:val="003A4DE7"/>
    <w:rsid w:val="003B0B0F"/>
    <w:rsid w:val="003B21BB"/>
    <w:rsid w:val="003B3A7D"/>
    <w:rsid w:val="003B4DAF"/>
    <w:rsid w:val="003B56BF"/>
    <w:rsid w:val="003B6070"/>
    <w:rsid w:val="003B7A38"/>
    <w:rsid w:val="003B7C55"/>
    <w:rsid w:val="003C0F39"/>
    <w:rsid w:val="003C1B62"/>
    <w:rsid w:val="003C3A3A"/>
    <w:rsid w:val="003C3D42"/>
    <w:rsid w:val="003C3D65"/>
    <w:rsid w:val="003C5137"/>
    <w:rsid w:val="003C5B15"/>
    <w:rsid w:val="003C5E6D"/>
    <w:rsid w:val="003C6528"/>
    <w:rsid w:val="003C6CA7"/>
    <w:rsid w:val="003C7D3E"/>
    <w:rsid w:val="003D08BC"/>
    <w:rsid w:val="003D0FA7"/>
    <w:rsid w:val="003D269B"/>
    <w:rsid w:val="003D3140"/>
    <w:rsid w:val="003D3B93"/>
    <w:rsid w:val="003D4565"/>
    <w:rsid w:val="003D4F14"/>
    <w:rsid w:val="003D6DD0"/>
    <w:rsid w:val="003D73FE"/>
    <w:rsid w:val="003D7714"/>
    <w:rsid w:val="003D78E7"/>
    <w:rsid w:val="003D7C13"/>
    <w:rsid w:val="003E058B"/>
    <w:rsid w:val="003E1BFA"/>
    <w:rsid w:val="003E3560"/>
    <w:rsid w:val="003E4F0A"/>
    <w:rsid w:val="003E652F"/>
    <w:rsid w:val="003E73B2"/>
    <w:rsid w:val="003F1729"/>
    <w:rsid w:val="003F26AC"/>
    <w:rsid w:val="003F315F"/>
    <w:rsid w:val="003F5FC7"/>
    <w:rsid w:val="003F7AD6"/>
    <w:rsid w:val="0040371C"/>
    <w:rsid w:val="004045C8"/>
    <w:rsid w:val="00404E7D"/>
    <w:rsid w:val="00412278"/>
    <w:rsid w:val="00412903"/>
    <w:rsid w:val="0041508D"/>
    <w:rsid w:val="004157AC"/>
    <w:rsid w:val="0041692F"/>
    <w:rsid w:val="00420E16"/>
    <w:rsid w:val="004214E9"/>
    <w:rsid w:val="00421775"/>
    <w:rsid w:val="00422D7D"/>
    <w:rsid w:val="00422E55"/>
    <w:rsid w:val="0042377B"/>
    <w:rsid w:val="004245A3"/>
    <w:rsid w:val="004251D2"/>
    <w:rsid w:val="00426C28"/>
    <w:rsid w:val="00426FDD"/>
    <w:rsid w:val="00427470"/>
    <w:rsid w:val="0043034E"/>
    <w:rsid w:val="004333B9"/>
    <w:rsid w:val="00434A0C"/>
    <w:rsid w:val="0043589B"/>
    <w:rsid w:val="004370CA"/>
    <w:rsid w:val="0044013E"/>
    <w:rsid w:val="00443CC1"/>
    <w:rsid w:val="00444E4E"/>
    <w:rsid w:val="00446511"/>
    <w:rsid w:val="00446D36"/>
    <w:rsid w:val="0044743B"/>
    <w:rsid w:val="00447517"/>
    <w:rsid w:val="00453D9C"/>
    <w:rsid w:val="00455021"/>
    <w:rsid w:val="00457473"/>
    <w:rsid w:val="004622DC"/>
    <w:rsid w:val="0046248A"/>
    <w:rsid w:val="004625C4"/>
    <w:rsid w:val="0046321F"/>
    <w:rsid w:val="00463665"/>
    <w:rsid w:val="00465D44"/>
    <w:rsid w:val="00467935"/>
    <w:rsid w:val="004702F2"/>
    <w:rsid w:val="00470698"/>
    <w:rsid w:val="0047090C"/>
    <w:rsid w:val="00471E9B"/>
    <w:rsid w:val="00472C3F"/>
    <w:rsid w:val="00473DCF"/>
    <w:rsid w:val="004745A1"/>
    <w:rsid w:val="0048004D"/>
    <w:rsid w:val="00486D03"/>
    <w:rsid w:val="0048765C"/>
    <w:rsid w:val="0049203A"/>
    <w:rsid w:val="00495ED4"/>
    <w:rsid w:val="004964E5"/>
    <w:rsid w:val="00496817"/>
    <w:rsid w:val="00497A25"/>
    <w:rsid w:val="004A1815"/>
    <w:rsid w:val="004A44A4"/>
    <w:rsid w:val="004A60A8"/>
    <w:rsid w:val="004A6FA4"/>
    <w:rsid w:val="004A7F78"/>
    <w:rsid w:val="004B1253"/>
    <w:rsid w:val="004B13BF"/>
    <w:rsid w:val="004B2D21"/>
    <w:rsid w:val="004B5F02"/>
    <w:rsid w:val="004B6424"/>
    <w:rsid w:val="004C0A02"/>
    <w:rsid w:val="004C0A13"/>
    <w:rsid w:val="004C11AD"/>
    <w:rsid w:val="004C1EF4"/>
    <w:rsid w:val="004C3F19"/>
    <w:rsid w:val="004C6630"/>
    <w:rsid w:val="004C6AAD"/>
    <w:rsid w:val="004D0282"/>
    <w:rsid w:val="004D2D2B"/>
    <w:rsid w:val="004D52A6"/>
    <w:rsid w:val="004D6711"/>
    <w:rsid w:val="004E1B19"/>
    <w:rsid w:val="004E407D"/>
    <w:rsid w:val="004E40AB"/>
    <w:rsid w:val="004E5703"/>
    <w:rsid w:val="004E5DDB"/>
    <w:rsid w:val="004E6017"/>
    <w:rsid w:val="004F251E"/>
    <w:rsid w:val="004F35AC"/>
    <w:rsid w:val="004F37DE"/>
    <w:rsid w:val="004F49C7"/>
    <w:rsid w:val="004F4B7B"/>
    <w:rsid w:val="004F5A40"/>
    <w:rsid w:val="004F6057"/>
    <w:rsid w:val="004F7C3A"/>
    <w:rsid w:val="0050143D"/>
    <w:rsid w:val="005014AB"/>
    <w:rsid w:val="00502A10"/>
    <w:rsid w:val="00506FAB"/>
    <w:rsid w:val="00507005"/>
    <w:rsid w:val="005072FB"/>
    <w:rsid w:val="005078B8"/>
    <w:rsid w:val="00507A7B"/>
    <w:rsid w:val="00510D8F"/>
    <w:rsid w:val="0051123A"/>
    <w:rsid w:val="005127D2"/>
    <w:rsid w:val="005134CE"/>
    <w:rsid w:val="00513A63"/>
    <w:rsid w:val="005168CE"/>
    <w:rsid w:val="0051795A"/>
    <w:rsid w:val="005179A5"/>
    <w:rsid w:val="005200D5"/>
    <w:rsid w:val="00520A6E"/>
    <w:rsid w:val="00520E37"/>
    <w:rsid w:val="005227ED"/>
    <w:rsid w:val="00523666"/>
    <w:rsid w:val="0052394D"/>
    <w:rsid w:val="0052512E"/>
    <w:rsid w:val="00531A93"/>
    <w:rsid w:val="0053258E"/>
    <w:rsid w:val="00535386"/>
    <w:rsid w:val="00536044"/>
    <w:rsid w:val="005361AC"/>
    <w:rsid w:val="0054075A"/>
    <w:rsid w:val="00543F53"/>
    <w:rsid w:val="00544D74"/>
    <w:rsid w:val="00545D37"/>
    <w:rsid w:val="00546F59"/>
    <w:rsid w:val="00547311"/>
    <w:rsid w:val="005476B4"/>
    <w:rsid w:val="00547B41"/>
    <w:rsid w:val="00551376"/>
    <w:rsid w:val="00551E62"/>
    <w:rsid w:val="00552D32"/>
    <w:rsid w:val="0055481C"/>
    <w:rsid w:val="0055604B"/>
    <w:rsid w:val="005571C1"/>
    <w:rsid w:val="00560D3D"/>
    <w:rsid w:val="005620C5"/>
    <w:rsid w:val="00562F65"/>
    <w:rsid w:val="0056314B"/>
    <w:rsid w:val="00563884"/>
    <w:rsid w:val="0056449C"/>
    <w:rsid w:val="00565137"/>
    <w:rsid w:val="00565366"/>
    <w:rsid w:val="00565374"/>
    <w:rsid w:val="005656E1"/>
    <w:rsid w:val="00565FD6"/>
    <w:rsid w:val="0056642C"/>
    <w:rsid w:val="00566E2F"/>
    <w:rsid w:val="00567025"/>
    <w:rsid w:val="00570CCC"/>
    <w:rsid w:val="00571EF2"/>
    <w:rsid w:val="00573504"/>
    <w:rsid w:val="00573E7B"/>
    <w:rsid w:val="00574F40"/>
    <w:rsid w:val="005752DB"/>
    <w:rsid w:val="00576D7A"/>
    <w:rsid w:val="00577D0A"/>
    <w:rsid w:val="00577FD3"/>
    <w:rsid w:val="005839CA"/>
    <w:rsid w:val="005842F5"/>
    <w:rsid w:val="00584FC4"/>
    <w:rsid w:val="005860E8"/>
    <w:rsid w:val="00586235"/>
    <w:rsid w:val="00591124"/>
    <w:rsid w:val="00591EA7"/>
    <w:rsid w:val="005923D8"/>
    <w:rsid w:val="00593B59"/>
    <w:rsid w:val="00594D76"/>
    <w:rsid w:val="00597463"/>
    <w:rsid w:val="005A1F74"/>
    <w:rsid w:val="005A3A24"/>
    <w:rsid w:val="005A5761"/>
    <w:rsid w:val="005A5802"/>
    <w:rsid w:val="005A70F6"/>
    <w:rsid w:val="005B1F13"/>
    <w:rsid w:val="005B221C"/>
    <w:rsid w:val="005B471C"/>
    <w:rsid w:val="005B5E79"/>
    <w:rsid w:val="005B67A1"/>
    <w:rsid w:val="005B6C47"/>
    <w:rsid w:val="005C0ED2"/>
    <w:rsid w:val="005C0FEA"/>
    <w:rsid w:val="005C0FFD"/>
    <w:rsid w:val="005C1316"/>
    <w:rsid w:val="005C1D9C"/>
    <w:rsid w:val="005D0622"/>
    <w:rsid w:val="005D08D5"/>
    <w:rsid w:val="005D0F6C"/>
    <w:rsid w:val="005D5162"/>
    <w:rsid w:val="005D524C"/>
    <w:rsid w:val="005D666A"/>
    <w:rsid w:val="005D6886"/>
    <w:rsid w:val="005D7955"/>
    <w:rsid w:val="005E0807"/>
    <w:rsid w:val="005E0BC6"/>
    <w:rsid w:val="005E152E"/>
    <w:rsid w:val="005E40FF"/>
    <w:rsid w:val="005E590C"/>
    <w:rsid w:val="005E5932"/>
    <w:rsid w:val="005E5D45"/>
    <w:rsid w:val="005E6E64"/>
    <w:rsid w:val="005F4E9D"/>
    <w:rsid w:val="005F5B64"/>
    <w:rsid w:val="005F6016"/>
    <w:rsid w:val="005F60CE"/>
    <w:rsid w:val="00600B6A"/>
    <w:rsid w:val="00602964"/>
    <w:rsid w:val="006036CC"/>
    <w:rsid w:val="00604445"/>
    <w:rsid w:val="00604B09"/>
    <w:rsid w:val="006076E8"/>
    <w:rsid w:val="00607D10"/>
    <w:rsid w:val="006103FF"/>
    <w:rsid w:val="00610D8A"/>
    <w:rsid w:val="0061103F"/>
    <w:rsid w:val="006121E4"/>
    <w:rsid w:val="006142E6"/>
    <w:rsid w:val="00615DE4"/>
    <w:rsid w:val="00615F5A"/>
    <w:rsid w:val="00621B27"/>
    <w:rsid w:val="00622685"/>
    <w:rsid w:val="0062582B"/>
    <w:rsid w:val="006340B7"/>
    <w:rsid w:val="00637AC7"/>
    <w:rsid w:val="00640514"/>
    <w:rsid w:val="00642701"/>
    <w:rsid w:val="006462D0"/>
    <w:rsid w:val="00646361"/>
    <w:rsid w:val="00646853"/>
    <w:rsid w:val="00647EA6"/>
    <w:rsid w:val="00652F38"/>
    <w:rsid w:val="006623AF"/>
    <w:rsid w:val="006707BA"/>
    <w:rsid w:val="006727CB"/>
    <w:rsid w:val="0067297B"/>
    <w:rsid w:val="00675331"/>
    <w:rsid w:val="00675A24"/>
    <w:rsid w:val="0067629D"/>
    <w:rsid w:val="0067724B"/>
    <w:rsid w:val="00680B4B"/>
    <w:rsid w:val="00680F1C"/>
    <w:rsid w:val="00681F30"/>
    <w:rsid w:val="00691321"/>
    <w:rsid w:val="00692672"/>
    <w:rsid w:val="00693F69"/>
    <w:rsid w:val="00694526"/>
    <w:rsid w:val="006A17FA"/>
    <w:rsid w:val="006A1C5C"/>
    <w:rsid w:val="006A1D95"/>
    <w:rsid w:val="006A3747"/>
    <w:rsid w:val="006A4D13"/>
    <w:rsid w:val="006A619B"/>
    <w:rsid w:val="006A6817"/>
    <w:rsid w:val="006B0046"/>
    <w:rsid w:val="006B0FEC"/>
    <w:rsid w:val="006B1795"/>
    <w:rsid w:val="006B1AB0"/>
    <w:rsid w:val="006C3639"/>
    <w:rsid w:val="006C3D34"/>
    <w:rsid w:val="006C5927"/>
    <w:rsid w:val="006C63DB"/>
    <w:rsid w:val="006C68F3"/>
    <w:rsid w:val="006C7B40"/>
    <w:rsid w:val="006D0195"/>
    <w:rsid w:val="006D4E7D"/>
    <w:rsid w:val="006D5B26"/>
    <w:rsid w:val="006D5D65"/>
    <w:rsid w:val="006D669A"/>
    <w:rsid w:val="006D7A8A"/>
    <w:rsid w:val="006D7B7D"/>
    <w:rsid w:val="006D7E5D"/>
    <w:rsid w:val="006E09C0"/>
    <w:rsid w:val="006E10AE"/>
    <w:rsid w:val="006E1BC8"/>
    <w:rsid w:val="006E67C1"/>
    <w:rsid w:val="006E6BA1"/>
    <w:rsid w:val="006F053C"/>
    <w:rsid w:val="006F0D4C"/>
    <w:rsid w:val="006F25E8"/>
    <w:rsid w:val="006F4DB9"/>
    <w:rsid w:val="006F5063"/>
    <w:rsid w:val="00703886"/>
    <w:rsid w:val="00704731"/>
    <w:rsid w:val="00704743"/>
    <w:rsid w:val="0070501A"/>
    <w:rsid w:val="007053E1"/>
    <w:rsid w:val="00706C7C"/>
    <w:rsid w:val="00706DDC"/>
    <w:rsid w:val="00710763"/>
    <w:rsid w:val="00710A56"/>
    <w:rsid w:val="00711890"/>
    <w:rsid w:val="00711B54"/>
    <w:rsid w:val="00714776"/>
    <w:rsid w:val="0071493F"/>
    <w:rsid w:val="00716F2A"/>
    <w:rsid w:val="00720BAD"/>
    <w:rsid w:val="0072385C"/>
    <w:rsid w:val="00723B49"/>
    <w:rsid w:val="00723F42"/>
    <w:rsid w:val="00724EF0"/>
    <w:rsid w:val="007250C6"/>
    <w:rsid w:val="007259FC"/>
    <w:rsid w:val="007313A5"/>
    <w:rsid w:val="00733837"/>
    <w:rsid w:val="00737232"/>
    <w:rsid w:val="00741C7B"/>
    <w:rsid w:val="007428E7"/>
    <w:rsid w:val="00742AF1"/>
    <w:rsid w:val="00744479"/>
    <w:rsid w:val="00745899"/>
    <w:rsid w:val="00745ACC"/>
    <w:rsid w:val="007461D9"/>
    <w:rsid w:val="007464B7"/>
    <w:rsid w:val="007469DB"/>
    <w:rsid w:val="00747E05"/>
    <w:rsid w:val="00750400"/>
    <w:rsid w:val="0075110C"/>
    <w:rsid w:val="00751154"/>
    <w:rsid w:val="00751B3B"/>
    <w:rsid w:val="007520FF"/>
    <w:rsid w:val="00753F87"/>
    <w:rsid w:val="00755B32"/>
    <w:rsid w:val="00756180"/>
    <w:rsid w:val="00756222"/>
    <w:rsid w:val="0076123E"/>
    <w:rsid w:val="007618E9"/>
    <w:rsid w:val="00761D0D"/>
    <w:rsid w:val="00762B9A"/>
    <w:rsid w:val="00765E9D"/>
    <w:rsid w:val="00770530"/>
    <w:rsid w:val="00773AF5"/>
    <w:rsid w:val="00775711"/>
    <w:rsid w:val="00777FBF"/>
    <w:rsid w:val="00781109"/>
    <w:rsid w:val="007818CF"/>
    <w:rsid w:val="00782743"/>
    <w:rsid w:val="00782965"/>
    <w:rsid w:val="00782AD2"/>
    <w:rsid w:val="00783943"/>
    <w:rsid w:val="00783C72"/>
    <w:rsid w:val="00792331"/>
    <w:rsid w:val="0079254C"/>
    <w:rsid w:val="00796A92"/>
    <w:rsid w:val="00797491"/>
    <w:rsid w:val="007978D8"/>
    <w:rsid w:val="007A1D40"/>
    <w:rsid w:val="007A5363"/>
    <w:rsid w:val="007A5BA6"/>
    <w:rsid w:val="007A66FE"/>
    <w:rsid w:val="007B3D60"/>
    <w:rsid w:val="007B48A2"/>
    <w:rsid w:val="007B4962"/>
    <w:rsid w:val="007B4AF2"/>
    <w:rsid w:val="007B5FA5"/>
    <w:rsid w:val="007B781A"/>
    <w:rsid w:val="007B7CCB"/>
    <w:rsid w:val="007C0064"/>
    <w:rsid w:val="007C0483"/>
    <w:rsid w:val="007C05C8"/>
    <w:rsid w:val="007C0CC0"/>
    <w:rsid w:val="007C0EBA"/>
    <w:rsid w:val="007C56CB"/>
    <w:rsid w:val="007D0671"/>
    <w:rsid w:val="007D0A84"/>
    <w:rsid w:val="007D0A9D"/>
    <w:rsid w:val="007D1050"/>
    <w:rsid w:val="007D4A81"/>
    <w:rsid w:val="007D51C5"/>
    <w:rsid w:val="007E0CDB"/>
    <w:rsid w:val="007E1701"/>
    <w:rsid w:val="007E1F91"/>
    <w:rsid w:val="007E2A3E"/>
    <w:rsid w:val="007E33FD"/>
    <w:rsid w:val="007E3BFF"/>
    <w:rsid w:val="007E6835"/>
    <w:rsid w:val="007E7240"/>
    <w:rsid w:val="007F5D94"/>
    <w:rsid w:val="007F7F6C"/>
    <w:rsid w:val="00800168"/>
    <w:rsid w:val="008008E7"/>
    <w:rsid w:val="00801930"/>
    <w:rsid w:val="008032EB"/>
    <w:rsid w:val="0080357E"/>
    <w:rsid w:val="00803801"/>
    <w:rsid w:val="008046E4"/>
    <w:rsid w:val="00806363"/>
    <w:rsid w:val="00807499"/>
    <w:rsid w:val="00807BFA"/>
    <w:rsid w:val="00810D15"/>
    <w:rsid w:val="00810D74"/>
    <w:rsid w:val="00810E1F"/>
    <w:rsid w:val="00811689"/>
    <w:rsid w:val="00815D3E"/>
    <w:rsid w:val="00816296"/>
    <w:rsid w:val="00816B53"/>
    <w:rsid w:val="00821294"/>
    <w:rsid w:val="00823BE7"/>
    <w:rsid w:val="0082464E"/>
    <w:rsid w:val="00827BFD"/>
    <w:rsid w:val="0083142C"/>
    <w:rsid w:val="00832070"/>
    <w:rsid w:val="00833BAB"/>
    <w:rsid w:val="008345CA"/>
    <w:rsid w:val="00835957"/>
    <w:rsid w:val="008418BE"/>
    <w:rsid w:val="008433C9"/>
    <w:rsid w:val="00843AC7"/>
    <w:rsid w:val="00845271"/>
    <w:rsid w:val="00845F85"/>
    <w:rsid w:val="00846071"/>
    <w:rsid w:val="0084631A"/>
    <w:rsid w:val="0085009E"/>
    <w:rsid w:val="00850714"/>
    <w:rsid w:val="00856CA1"/>
    <w:rsid w:val="00857CBE"/>
    <w:rsid w:val="00860057"/>
    <w:rsid w:val="008603E4"/>
    <w:rsid w:val="00860800"/>
    <w:rsid w:val="00861CAA"/>
    <w:rsid w:val="00863BED"/>
    <w:rsid w:val="00863DDF"/>
    <w:rsid w:val="00864CAC"/>
    <w:rsid w:val="00867330"/>
    <w:rsid w:val="0087050B"/>
    <w:rsid w:val="00873159"/>
    <w:rsid w:val="00873B45"/>
    <w:rsid w:val="00873ED6"/>
    <w:rsid w:val="008743ED"/>
    <w:rsid w:val="0088086F"/>
    <w:rsid w:val="008825E2"/>
    <w:rsid w:val="00882C4F"/>
    <w:rsid w:val="008837FB"/>
    <w:rsid w:val="008841CF"/>
    <w:rsid w:val="00884CB7"/>
    <w:rsid w:val="008906B1"/>
    <w:rsid w:val="00892873"/>
    <w:rsid w:val="008932F8"/>
    <w:rsid w:val="00895250"/>
    <w:rsid w:val="0089783D"/>
    <w:rsid w:val="008A2C9A"/>
    <w:rsid w:val="008A3121"/>
    <w:rsid w:val="008A37C0"/>
    <w:rsid w:val="008A506C"/>
    <w:rsid w:val="008B069D"/>
    <w:rsid w:val="008B0C4A"/>
    <w:rsid w:val="008B0E63"/>
    <w:rsid w:val="008B1AD1"/>
    <w:rsid w:val="008B25AD"/>
    <w:rsid w:val="008B7ADF"/>
    <w:rsid w:val="008B7C1C"/>
    <w:rsid w:val="008C1FA8"/>
    <w:rsid w:val="008C3E96"/>
    <w:rsid w:val="008C628B"/>
    <w:rsid w:val="008C6F05"/>
    <w:rsid w:val="008C77C5"/>
    <w:rsid w:val="008C7B64"/>
    <w:rsid w:val="008D0687"/>
    <w:rsid w:val="008D0806"/>
    <w:rsid w:val="008D2B0D"/>
    <w:rsid w:val="008D43F2"/>
    <w:rsid w:val="008D5EAC"/>
    <w:rsid w:val="008D602B"/>
    <w:rsid w:val="008E0208"/>
    <w:rsid w:val="008E0584"/>
    <w:rsid w:val="008E1A1B"/>
    <w:rsid w:val="008E3C6E"/>
    <w:rsid w:val="008E448A"/>
    <w:rsid w:val="008E70CA"/>
    <w:rsid w:val="008E726B"/>
    <w:rsid w:val="008E7BED"/>
    <w:rsid w:val="008F0F13"/>
    <w:rsid w:val="008F0F7F"/>
    <w:rsid w:val="008F2654"/>
    <w:rsid w:val="008F5147"/>
    <w:rsid w:val="008F72BD"/>
    <w:rsid w:val="00902DEE"/>
    <w:rsid w:val="009037DF"/>
    <w:rsid w:val="00903CEC"/>
    <w:rsid w:val="00905703"/>
    <w:rsid w:val="009069AB"/>
    <w:rsid w:val="009076B7"/>
    <w:rsid w:val="00907702"/>
    <w:rsid w:val="00907C1E"/>
    <w:rsid w:val="00910728"/>
    <w:rsid w:val="00912427"/>
    <w:rsid w:val="0091414B"/>
    <w:rsid w:val="00914395"/>
    <w:rsid w:val="00915748"/>
    <w:rsid w:val="00915AB8"/>
    <w:rsid w:val="009214B2"/>
    <w:rsid w:val="009216B8"/>
    <w:rsid w:val="00921E09"/>
    <w:rsid w:val="009221F6"/>
    <w:rsid w:val="009241F3"/>
    <w:rsid w:val="00925F60"/>
    <w:rsid w:val="00926264"/>
    <w:rsid w:val="00927262"/>
    <w:rsid w:val="009274B3"/>
    <w:rsid w:val="009278D8"/>
    <w:rsid w:val="00927BE2"/>
    <w:rsid w:val="009300AD"/>
    <w:rsid w:val="00931BDF"/>
    <w:rsid w:val="009320B0"/>
    <w:rsid w:val="0093336C"/>
    <w:rsid w:val="009334CD"/>
    <w:rsid w:val="00933AFA"/>
    <w:rsid w:val="0093475C"/>
    <w:rsid w:val="00936A72"/>
    <w:rsid w:val="00937120"/>
    <w:rsid w:val="0093769D"/>
    <w:rsid w:val="00937E0F"/>
    <w:rsid w:val="00937EC9"/>
    <w:rsid w:val="00940082"/>
    <w:rsid w:val="00941639"/>
    <w:rsid w:val="00943CB3"/>
    <w:rsid w:val="009446D2"/>
    <w:rsid w:val="009456F6"/>
    <w:rsid w:val="00947445"/>
    <w:rsid w:val="0094754A"/>
    <w:rsid w:val="00947D81"/>
    <w:rsid w:val="00954A0C"/>
    <w:rsid w:val="00954E97"/>
    <w:rsid w:val="00955600"/>
    <w:rsid w:val="009562ED"/>
    <w:rsid w:val="009566A2"/>
    <w:rsid w:val="00956A06"/>
    <w:rsid w:val="00956B3E"/>
    <w:rsid w:val="00960DB9"/>
    <w:rsid w:val="00964DA5"/>
    <w:rsid w:val="009652A8"/>
    <w:rsid w:val="0096642E"/>
    <w:rsid w:val="00966AD7"/>
    <w:rsid w:val="0096775D"/>
    <w:rsid w:val="00971186"/>
    <w:rsid w:val="009729F2"/>
    <w:rsid w:val="00972E3C"/>
    <w:rsid w:val="00973876"/>
    <w:rsid w:val="00973EBA"/>
    <w:rsid w:val="00974172"/>
    <w:rsid w:val="009744DD"/>
    <w:rsid w:val="00974DC0"/>
    <w:rsid w:val="00976A7B"/>
    <w:rsid w:val="009809E2"/>
    <w:rsid w:val="009811E3"/>
    <w:rsid w:val="009816C3"/>
    <w:rsid w:val="009849FE"/>
    <w:rsid w:val="009862D2"/>
    <w:rsid w:val="009877F7"/>
    <w:rsid w:val="0099072E"/>
    <w:rsid w:val="00990CB0"/>
    <w:rsid w:val="00991319"/>
    <w:rsid w:val="00991478"/>
    <w:rsid w:val="0099225A"/>
    <w:rsid w:val="009934D3"/>
    <w:rsid w:val="00994C51"/>
    <w:rsid w:val="00995370"/>
    <w:rsid w:val="00995539"/>
    <w:rsid w:val="0099590C"/>
    <w:rsid w:val="00997F09"/>
    <w:rsid w:val="009A0E24"/>
    <w:rsid w:val="009A14E2"/>
    <w:rsid w:val="009A1581"/>
    <w:rsid w:val="009A26B0"/>
    <w:rsid w:val="009A503A"/>
    <w:rsid w:val="009A727A"/>
    <w:rsid w:val="009A764F"/>
    <w:rsid w:val="009B0F41"/>
    <w:rsid w:val="009B1652"/>
    <w:rsid w:val="009B22EF"/>
    <w:rsid w:val="009B315E"/>
    <w:rsid w:val="009B7785"/>
    <w:rsid w:val="009C236C"/>
    <w:rsid w:val="009C2790"/>
    <w:rsid w:val="009C55AF"/>
    <w:rsid w:val="009D0DDE"/>
    <w:rsid w:val="009D2966"/>
    <w:rsid w:val="009D34CC"/>
    <w:rsid w:val="009D35AC"/>
    <w:rsid w:val="009D52A2"/>
    <w:rsid w:val="009D76ED"/>
    <w:rsid w:val="009D7D92"/>
    <w:rsid w:val="009E26D0"/>
    <w:rsid w:val="009E2AFD"/>
    <w:rsid w:val="009E3086"/>
    <w:rsid w:val="009E4995"/>
    <w:rsid w:val="009E5D93"/>
    <w:rsid w:val="009F00DA"/>
    <w:rsid w:val="009F193C"/>
    <w:rsid w:val="009F2034"/>
    <w:rsid w:val="009F2318"/>
    <w:rsid w:val="009F4368"/>
    <w:rsid w:val="00A008F9"/>
    <w:rsid w:val="00A03E71"/>
    <w:rsid w:val="00A05F53"/>
    <w:rsid w:val="00A075FB"/>
    <w:rsid w:val="00A07931"/>
    <w:rsid w:val="00A07A78"/>
    <w:rsid w:val="00A121CC"/>
    <w:rsid w:val="00A12BF4"/>
    <w:rsid w:val="00A15BDC"/>
    <w:rsid w:val="00A15FF4"/>
    <w:rsid w:val="00A21016"/>
    <w:rsid w:val="00A22021"/>
    <w:rsid w:val="00A24C28"/>
    <w:rsid w:val="00A2603C"/>
    <w:rsid w:val="00A26189"/>
    <w:rsid w:val="00A27593"/>
    <w:rsid w:val="00A27975"/>
    <w:rsid w:val="00A30067"/>
    <w:rsid w:val="00A32F30"/>
    <w:rsid w:val="00A32F9C"/>
    <w:rsid w:val="00A33685"/>
    <w:rsid w:val="00A358E0"/>
    <w:rsid w:val="00A36E79"/>
    <w:rsid w:val="00A37127"/>
    <w:rsid w:val="00A373C1"/>
    <w:rsid w:val="00A37467"/>
    <w:rsid w:val="00A379E0"/>
    <w:rsid w:val="00A37AAF"/>
    <w:rsid w:val="00A40E7B"/>
    <w:rsid w:val="00A428E6"/>
    <w:rsid w:val="00A43872"/>
    <w:rsid w:val="00A46DBD"/>
    <w:rsid w:val="00A47C2A"/>
    <w:rsid w:val="00A5113D"/>
    <w:rsid w:val="00A52973"/>
    <w:rsid w:val="00A52B63"/>
    <w:rsid w:val="00A54AB0"/>
    <w:rsid w:val="00A55D33"/>
    <w:rsid w:val="00A56DE9"/>
    <w:rsid w:val="00A60DD3"/>
    <w:rsid w:val="00A61B98"/>
    <w:rsid w:val="00A632E9"/>
    <w:rsid w:val="00A6412E"/>
    <w:rsid w:val="00A652BB"/>
    <w:rsid w:val="00A65B83"/>
    <w:rsid w:val="00A702BD"/>
    <w:rsid w:val="00A70A12"/>
    <w:rsid w:val="00A71C44"/>
    <w:rsid w:val="00A7378A"/>
    <w:rsid w:val="00A73B33"/>
    <w:rsid w:val="00A77512"/>
    <w:rsid w:val="00A779F2"/>
    <w:rsid w:val="00A82F85"/>
    <w:rsid w:val="00A841AD"/>
    <w:rsid w:val="00A873A3"/>
    <w:rsid w:val="00A878B3"/>
    <w:rsid w:val="00A91F3F"/>
    <w:rsid w:val="00A93A1B"/>
    <w:rsid w:val="00A944B7"/>
    <w:rsid w:val="00A94E01"/>
    <w:rsid w:val="00A94ECA"/>
    <w:rsid w:val="00A95BD3"/>
    <w:rsid w:val="00A97CE1"/>
    <w:rsid w:val="00AA1022"/>
    <w:rsid w:val="00AA1642"/>
    <w:rsid w:val="00AA1CC6"/>
    <w:rsid w:val="00AA1E8E"/>
    <w:rsid w:val="00AA4F13"/>
    <w:rsid w:val="00AA5438"/>
    <w:rsid w:val="00AB0B1F"/>
    <w:rsid w:val="00AB2642"/>
    <w:rsid w:val="00AB410F"/>
    <w:rsid w:val="00AB4D39"/>
    <w:rsid w:val="00AB5D68"/>
    <w:rsid w:val="00AB6036"/>
    <w:rsid w:val="00AC0559"/>
    <w:rsid w:val="00AC5D9F"/>
    <w:rsid w:val="00AC76D2"/>
    <w:rsid w:val="00AC788D"/>
    <w:rsid w:val="00AC7BB3"/>
    <w:rsid w:val="00AD0BC3"/>
    <w:rsid w:val="00AD4B2B"/>
    <w:rsid w:val="00AD6C7C"/>
    <w:rsid w:val="00AE12F7"/>
    <w:rsid w:val="00AE164D"/>
    <w:rsid w:val="00AE372B"/>
    <w:rsid w:val="00AE542F"/>
    <w:rsid w:val="00AE6BF3"/>
    <w:rsid w:val="00AF18A1"/>
    <w:rsid w:val="00AF1BC1"/>
    <w:rsid w:val="00AF2A48"/>
    <w:rsid w:val="00AF4199"/>
    <w:rsid w:val="00AF47A0"/>
    <w:rsid w:val="00AF4F8D"/>
    <w:rsid w:val="00AF550B"/>
    <w:rsid w:val="00AF6716"/>
    <w:rsid w:val="00AF7237"/>
    <w:rsid w:val="00AF7C17"/>
    <w:rsid w:val="00AF7F29"/>
    <w:rsid w:val="00B001EC"/>
    <w:rsid w:val="00B00241"/>
    <w:rsid w:val="00B01025"/>
    <w:rsid w:val="00B02781"/>
    <w:rsid w:val="00B02A5B"/>
    <w:rsid w:val="00B05DA4"/>
    <w:rsid w:val="00B12F27"/>
    <w:rsid w:val="00B13E84"/>
    <w:rsid w:val="00B14A6E"/>
    <w:rsid w:val="00B14C75"/>
    <w:rsid w:val="00B17211"/>
    <w:rsid w:val="00B17BAE"/>
    <w:rsid w:val="00B17DE4"/>
    <w:rsid w:val="00B20A4D"/>
    <w:rsid w:val="00B21882"/>
    <w:rsid w:val="00B22632"/>
    <w:rsid w:val="00B22C4B"/>
    <w:rsid w:val="00B23C93"/>
    <w:rsid w:val="00B2500F"/>
    <w:rsid w:val="00B26C27"/>
    <w:rsid w:val="00B26D4F"/>
    <w:rsid w:val="00B278B9"/>
    <w:rsid w:val="00B32C08"/>
    <w:rsid w:val="00B334FE"/>
    <w:rsid w:val="00B35792"/>
    <w:rsid w:val="00B4035A"/>
    <w:rsid w:val="00B4114B"/>
    <w:rsid w:val="00B4242C"/>
    <w:rsid w:val="00B42EB6"/>
    <w:rsid w:val="00B44B79"/>
    <w:rsid w:val="00B45A74"/>
    <w:rsid w:val="00B4601E"/>
    <w:rsid w:val="00B50183"/>
    <w:rsid w:val="00B5054E"/>
    <w:rsid w:val="00B52E4D"/>
    <w:rsid w:val="00B53C69"/>
    <w:rsid w:val="00B550E2"/>
    <w:rsid w:val="00B55283"/>
    <w:rsid w:val="00B567D3"/>
    <w:rsid w:val="00B57797"/>
    <w:rsid w:val="00B617CF"/>
    <w:rsid w:val="00B617D8"/>
    <w:rsid w:val="00B636B9"/>
    <w:rsid w:val="00B642FA"/>
    <w:rsid w:val="00B65004"/>
    <w:rsid w:val="00B654BC"/>
    <w:rsid w:val="00B66402"/>
    <w:rsid w:val="00B66931"/>
    <w:rsid w:val="00B66AEB"/>
    <w:rsid w:val="00B70704"/>
    <w:rsid w:val="00B70A45"/>
    <w:rsid w:val="00B71036"/>
    <w:rsid w:val="00B71B27"/>
    <w:rsid w:val="00B73923"/>
    <w:rsid w:val="00B75297"/>
    <w:rsid w:val="00B75E94"/>
    <w:rsid w:val="00B769EC"/>
    <w:rsid w:val="00B76AAC"/>
    <w:rsid w:val="00B779F2"/>
    <w:rsid w:val="00B77BD4"/>
    <w:rsid w:val="00B830CB"/>
    <w:rsid w:val="00B851C6"/>
    <w:rsid w:val="00B85394"/>
    <w:rsid w:val="00B86549"/>
    <w:rsid w:val="00B87B61"/>
    <w:rsid w:val="00B90EBB"/>
    <w:rsid w:val="00B91309"/>
    <w:rsid w:val="00B91F35"/>
    <w:rsid w:val="00B925BD"/>
    <w:rsid w:val="00B92698"/>
    <w:rsid w:val="00B926D0"/>
    <w:rsid w:val="00B92CDA"/>
    <w:rsid w:val="00B9324C"/>
    <w:rsid w:val="00B94DC9"/>
    <w:rsid w:val="00B95519"/>
    <w:rsid w:val="00B95903"/>
    <w:rsid w:val="00BA1552"/>
    <w:rsid w:val="00BA4408"/>
    <w:rsid w:val="00BA4D10"/>
    <w:rsid w:val="00BA5693"/>
    <w:rsid w:val="00BA62C6"/>
    <w:rsid w:val="00BA6C3F"/>
    <w:rsid w:val="00BA7327"/>
    <w:rsid w:val="00BB1660"/>
    <w:rsid w:val="00BB1740"/>
    <w:rsid w:val="00BB4A16"/>
    <w:rsid w:val="00BB4DA0"/>
    <w:rsid w:val="00BB6874"/>
    <w:rsid w:val="00BB6CFF"/>
    <w:rsid w:val="00BB7D61"/>
    <w:rsid w:val="00BC068A"/>
    <w:rsid w:val="00BC1702"/>
    <w:rsid w:val="00BC546C"/>
    <w:rsid w:val="00BD0A6E"/>
    <w:rsid w:val="00BD1832"/>
    <w:rsid w:val="00BD59D1"/>
    <w:rsid w:val="00BD7DD9"/>
    <w:rsid w:val="00BE08F0"/>
    <w:rsid w:val="00BE1AF8"/>
    <w:rsid w:val="00BE297A"/>
    <w:rsid w:val="00BE3410"/>
    <w:rsid w:val="00BF181B"/>
    <w:rsid w:val="00BF2D07"/>
    <w:rsid w:val="00BF3CD5"/>
    <w:rsid w:val="00BF5198"/>
    <w:rsid w:val="00BF5584"/>
    <w:rsid w:val="00BF6844"/>
    <w:rsid w:val="00BF70E0"/>
    <w:rsid w:val="00C02C52"/>
    <w:rsid w:val="00C043F8"/>
    <w:rsid w:val="00C04BB4"/>
    <w:rsid w:val="00C06FE9"/>
    <w:rsid w:val="00C0744F"/>
    <w:rsid w:val="00C103A4"/>
    <w:rsid w:val="00C10E17"/>
    <w:rsid w:val="00C11078"/>
    <w:rsid w:val="00C11B04"/>
    <w:rsid w:val="00C13D5A"/>
    <w:rsid w:val="00C14443"/>
    <w:rsid w:val="00C145ED"/>
    <w:rsid w:val="00C14BB5"/>
    <w:rsid w:val="00C14D1C"/>
    <w:rsid w:val="00C17EDC"/>
    <w:rsid w:val="00C20BD1"/>
    <w:rsid w:val="00C2231A"/>
    <w:rsid w:val="00C23179"/>
    <w:rsid w:val="00C24C1E"/>
    <w:rsid w:val="00C27197"/>
    <w:rsid w:val="00C3235D"/>
    <w:rsid w:val="00C36B06"/>
    <w:rsid w:val="00C36CCC"/>
    <w:rsid w:val="00C4154A"/>
    <w:rsid w:val="00C42AB5"/>
    <w:rsid w:val="00C44FF8"/>
    <w:rsid w:val="00C4623F"/>
    <w:rsid w:val="00C46C73"/>
    <w:rsid w:val="00C47289"/>
    <w:rsid w:val="00C53BAC"/>
    <w:rsid w:val="00C54DA9"/>
    <w:rsid w:val="00C56B6A"/>
    <w:rsid w:val="00C57FB6"/>
    <w:rsid w:val="00C619E4"/>
    <w:rsid w:val="00C6705A"/>
    <w:rsid w:val="00C67D75"/>
    <w:rsid w:val="00C713C0"/>
    <w:rsid w:val="00C71E80"/>
    <w:rsid w:val="00C7233F"/>
    <w:rsid w:val="00C73AB6"/>
    <w:rsid w:val="00C75CE8"/>
    <w:rsid w:val="00C800C2"/>
    <w:rsid w:val="00C83F04"/>
    <w:rsid w:val="00C83F35"/>
    <w:rsid w:val="00C84705"/>
    <w:rsid w:val="00C84A05"/>
    <w:rsid w:val="00C8574A"/>
    <w:rsid w:val="00C85B1B"/>
    <w:rsid w:val="00C90040"/>
    <w:rsid w:val="00C91791"/>
    <w:rsid w:val="00C9369F"/>
    <w:rsid w:val="00C93E94"/>
    <w:rsid w:val="00C940A2"/>
    <w:rsid w:val="00C94419"/>
    <w:rsid w:val="00C97C9A"/>
    <w:rsid w:val="00CA105D"/>
    <w:rsid w:val="00CA2D0B"/>
    <w:rsid w:val="00CA2FBF"/>
    <w:rsid w:val="00CA55F9"/>
    <w:rsid w:val="00CA69CD"/>
    <w:rsid w:val="00CA7901"/>
    <w:rsid w:val="00CA7B2A"/>
    <w:rsid w:val="00CB1ACD"/>
    <w:rsid w:val="00CB1B04"/>
    <w:rsid w:val="00CB2CC8"/>
    <w:rsid w:val="00CB2D4F"/>
    <w:rsid w:val="00CB2EB1"/>
    <w:rsid w:val="00CB3A2C"/>
    <w:rsid w:val="00CB4BA8"/>
    <w:rsid w:val="00CB513E"/>
    <w:rsid w:val="00CB7760"/>
    <w:rsid w:val="00CB7AB4"/>
    <w:rsid w:val="00CC0231"/>
    <w:rsid w:val="00CC148F"/>
    <w:rsid w:val="00CC2282"/>
    <w:rsid w:val="00CC244B"/>
    <w:rsid w:val="00CC258D"/>
    <w:rsid w:val="00CC2C6D"/>
    <w:rsid w:val="00CC2DB1"/>
    <w:rsid w:val="00CC3B1B"/>
    <w:rsid w:val="00CC3B77"/>
    <w:rsid w:val="00CC5FCD"/>
    <w:rsid w:val="00CD092D"/>
    <w:rsid w:val="00CD25A5"/>
    <w:rsid w:val="00CD5FA0"/>
    <w:rsid w:val="00CD6CF6"/>
    <w:rsid w:val="00CE04DE"/>
    <w:rsid w:val="00CE0CE6"/>
    <w:rsid w:val="00CE186B"/>
    <w:rsid w:val="00CE1A36"/>
    <w:rsid w:val="00CE1D3A"/>
    <w:rsid w:val="00CE506B"/>
    <w:rsid w:val="00CE6408"/>
    <w:rsid w:val="00CF0485"/>
    <w:rsid w:val="00CF1811"/>
    <w:rsid w:val="00CF5A7A"/>
    <w:rsid w:val="00D01975"/>
    <w:rsid w:val="00D027DE"/>
    <w:rsid w:val="00D046DE"/>
    <w:rsid w:val="00D047DF"/>
    <w:rsid w:val="00D06D6D"/>
    <w:rsid w:val="00D10961"/>
    <w:rsid w:val="00D10AB8"/>
    <w:rsid w:val="00D10C20"/>
    <w:rsid w:val="00D135EC"/>
    <w:rsid w:val="00D13963"/>
    <w:rsid w:val="00D14395"/>
    <w:rsid w:val="00D14910"/>
    <w:rsid w:val="00D149C7"/>
    <w:rsid w:val="00D163A9"/>
    <w:rsid w:val="00D16DB3"/>
    <w:rsid w:val="00D17FAB"/>
    <w:rsid w:val="00D208CC"/>
    <w:rsid w:val="00D25301"/>
    <w:rsid w:val="00D26825"/>
    <w:rsid w:val="00D27D3A"/>
    <w:rsid w:val="00D3021D"/>
    <w:rsid w:val="00D305C6"/>
    <w:rsid w:val="00D30775"/>
    <w:rsid w:val="00D31269"/>
    <w:rsid w:val="00D32E30"/>
    <w:rsid w:val="00D343ED"/>
    <w:rsid w:val="00D37B33"/>
    <w:rsid w:val="00D4011B"/>
    <w:rsid w:val="00D408EE"/>
    <w:rsid w:val="00D41915"/>
    <w:rsid w:val="00D43731"/>
    <w:rsid w:val="00D44680"/>
    <w:rsid w:val="00D50488"/>
    <w:rsid w:val="00D513A1"/>
    <w:rsid w:val="00D51C4A"/>
    <w:rsid w:val="00D51F8B"/>
    <w:rsid w:val="00D55776"/>
    <w:rsid w:val="00D56546"/>
    <w:rsid w:val="00D60178"/>
    <w:rsid w:val="00D6091B"/>
    <w:rsid w:val="00D63669"/>
    <w:rsid w:val="00D6593A"/>
    <w:rsid w:val="00D65DBD"/>
    <w:rsid w:val="00D65FF9"/>
    <w:rsid w:val="00D72657"/>
    <w:rsid w:val="00D72F47"/>
    <w:rsid w:val="00D73196"/>
    <w:rsid w:val="00D74127"/>
    <w:rsid w:val="00D7467D"/>
    <w:rsid w:val="00D80292"/>
    <w:rsid w:val="00D82B95"/>
    <w:rsid w:val="00D82FDA"/>
    <w:rsid w:val="00D84CF9"/>
    <w:rsid w:val="00D84ECE"/>
    <w:rsid w:val="00D850E3"/>
    <w:rsid w:val="00D9119D"/>
    <w:rsid w:val="00D91522"/>
    <w:rsid w:val="00D91BF2"/>
    <w:rsid w:val="00D95886"/>
    <w:rsid w:val="00D97539"/>
    <w:rsid w:val="00D978DC"/>
    <w:rsid w:val="00DA1717"/>
    <w:rsid w:val="00DA1CB6"/>
    <w:rsid w:val="00DA261E"/>
    <w:rsid w:val="00DA41CC"/>
    <w:rsid w:val="00DA4B73"/>
    <w:rsid w:val="00DA6EB4"/>
    <w:rsid w:val="00DB0BB6"/>
    <w:rsid w:val="00DB51C7"/>
    <w:rsid w:val="00DB5315"/>
    <w:rsid w:val="00DC0CA0"/>
    <w:rsid w:val="00DC11D9"/>
    <w:rsid w:val="00DC12D0"/>
    <w:rsid w:val="00DC3110"/>
    <w:rsid w:val="00DC4DFB"/>
    <w:rsid w:val="00DC50B8"/>
    <w:rsid w:val="00DC59EA"/>
    <w:rsid w:val="00DD3C7B"/>
    <w:rsid w:val="00DD4E76"/>
    <w:rsid w:val="00DD6C2D"/>
    <w:rsid w:val="00DE01AC"/>
    <w:rsid w:val="00DE1DD4"/>
    <w:rsid w:val="00DE2054"/>
    <w:rsid w:val="00DE3BC6"/>
    <w:rsid w:val="00DE3FEE"/>
    <w:rsid w:val="00DE5894"/>
    <w:rsid w:val="00DE6A3E"/>
    <w:rsid w:val="00DE6D1E"/>
    <w:rsid w:val="00DF04ED"/>
    <w:rsid w:val="00DF097C"/>
    <w:rsid w:val="00DF0CE9"/>
    <w:rsid w:val="00DF14AE"/>
    <w:rsid w:val="00DF167E"/>
    <w:rsid w:val="00DF1973"/>
    <w:rsid w:val="00DF1EF9"/>
    <w:rsid w:val="00DF39EF"/>
    <w:rsid w:val="00DF41D6"/>
    <w:rsid w:val="00DF4C47"/>
    <w:rsid w:val="00DF5376"/>
    <w:rsid w:val="00DF6356"/>
    <w:rsid w:val="00DF70F4"/>
    <w:rsid w:val="00DF74A9"/>
    <w:rsid w:val="00E00B74"/>
    <w:rsid w:val="00E02455"/>
    <w:rsid w:val="00E04075"/>
    <w:rsid w:val="00E040E1"/>
    <w:rsid w:val="00E04BB9"/>
    <w:rsid w:val="00E06E16"/>
    <w:rsid w:val="00E118D7"/>
    <w:rsid w:val="00E1210C"/>
    <w:rsid w:val="00E1232E"/>
    <w:rsid w:val="00E129F9"/>
    <w:rsid w:val="00E12A97"/>
    <w:rsid w:val="00E13C4F"/>
    <w:rsid w:val="00E1521F"/>
    <w:rsid w:val="00E16340"/>
    <w:rsid w:val="00E179D9"/>
    <w:rsid w:val="00E213A8"/>
    <w:rsid w:val="00E21760"/>
    <w:rsid w:val="00E2325F"/>
    <w:rsid w:val="00E2327C"/>
    <w:rsid w:val="00E234BD"/>
    <w:rsid w:val="00E23CB0"/>
    <w:rsid w:val="00E24B7E"/>
    <w:rsid w:val="00E25B5D"/>
    <w:rsid w:val="00E25D07"/>
    <w:rsid w:val="00E26E78"/>
    <w:rsid w:val="00E30939"/>
    <w:rsid w:val="00E32F2F"/>
    <w:rsid w:val="00E3396B"/>
    <w:rsid w:val="00E34508"/>
    <w:rsid w:val="00E36810"/>
    <w:rsid w:val="00E37C29"/>
    <w:rsid w:val="00E40427"/>
    <w:rsid w:val="00E41C50"/>
    <w:rsid w:val="00E42ED8"/>
    <w:rsid w:val="00E43F69"/>
    <w:rsid w:val="00E44056"/>
    <w:rsid w:val="00E44E1E"/>
    <w:rsid w:val="00E4648F"/>
    <w:rsid w:val="00E471EE"/>
    <w:rsid w:val="00E47EB4"/>
    <w:rsid w:val="00E50ED2"/>
    <w:rsid w:val="00E51D8C"/>
    <w:rsid w:val="00E52905"/>
    <w:rsid w:val="00E52E8C"/>
    <w:rsid w:val="00E5336D"/>
    <w:rsid w:val="00E539D8"/>
    <w:rsid w:val="00E55E91"/>
    <w:rsid w:val="00E5751C"/>
    <w:rsid w:val="00E60A9C"/>
    <w:rsid w:val="00E62F9B"/>
    <w:rsid w:val="00E6390C"/>
    <w:rsid w:val="00E63A5C"/>
    <w:rsid w:val="00E64B98"/>
    <w:rsid w:val="00E64CF8"/>
    <w:rsid w:val="00E6504B"/>
    <w:rsid w:val="00E6546E"/>
    <w:rsid w:val="00E659A5"/>
    <w:rsid w:val="00E71193"/>
    <w:rsid w:val="00E71A1E"/>
    <w:rsid w:val="00E71BC8"/>
    <w:rsid w:val="00E74EE7"/>
    <w:rsid w:val="00E76DB0"/>
    <w:rsid w:val="00E81469"/>
    <w:rsid w:val="00E821E5"/>
    <w:rsid w:val="00E857C1"/>
    <w:rsid w:val="00E8669F"/>
    <w:rsid w:val="00E87032"/>
    <w:rsid w:val="00E90A4C"/>
    <w:rsid w:val="00E90E5B"/>
    <w:rsid w:val="00E91275"/>
    <w:rsid w:val="00E912E1"/>
    <w:rsid w:val="00E92372"/>
    <w:rsid w:val="00E9297B"/>
    <w:rsid w:val="00E92E4C"/>
    <w:rsid w:val="00E93599"/>
    <w:rsid w:val="00E93A4B"/>
    <w:rsid w:val="00E95FA3"/>
    <w:rsid w:val="00EA1355"/>
    <w:rsid w:val="00EA19DE"/>
    <w:rsid w:val="00EA1F06"/>
    <w:rsid w:val="00EA6A19"/>
    <w:rsid w:val="00EA7262"/>
    <w:rsid w:val="00EA7BDB"/>
    <w:rsid w:val="00EB085A"/>
    <w:rsid w:val="00EB4944"/>
    <w:rsid w:val="00EB6559"/>
    <w:rsid w:val="00EB74EE"/>
    <w:rsid w:val="00EB75DA"/>
    <w:rsid w:val="00EC0006"/>
    <w:rsid w:val="00EC1BCE"/>
    <w:rsid w:val="00EC30FD"/>
    <w:rsid w:val="00EC3B5F"/>
    <w:rsid w:val="00EC3FE9"/>
    <w:rsid w:val="00EC56AD"/>
    <w:rsid w:val="00ED2971"/>
    <w:rsid w:val="00ED5958"/>
    <w:rsid w:val="00EE08A6"/>
    <w:rsid w:val="00EE09A8"/>
    <w:rsid w:val="00EE0C9E"/>
    <w:rsid w:val="00EE0DA8"/>
    <w:rsid w:val="00EE3F6A"/>
    <w:rsid w:val="00EE48FC"/>
    <w:rsid w:val="00EE7245"/>
    <w:rsid w:val="00EE7B91"/>
    <w:rsid w:val="00EE7E70"/>
    <w:rsid w:val="00EF0B0B"/>
    <w:rsid w:val="00EF1127"/>
    <w:rsid w:val="00EF1DBA"/>
    <w:rsid w:val="00EF3EF3"/>
    <w:rsid w:val="00EF4894"/>
    <w:rsid w:val="00EF4DAD"/>
    <w:rsid w:val="00F0086D"/>
    <w:rsid w:val="00F02293"/>
    <w:rsid w:val="00F02582"/>
    <w:rsid w:val="00F02F9E"/>
    <w:rsid w:val="00F05F99"/>
    <w:rsid w:val="00F07373"/>
    <w:rsid w:val="00F12933"/>
    <w:rsid w:val="00F1340F"/>
    <w:rsid w:val="00F149D7"/>
    <w:rsid w:val="00F156DE"/>
    <w:rsid w:val="00F21773"/>
    <w:rsid w:val="00F217EC"/>
    <w:rsid w:val="00F23686"/>
    <w:rsid w:val="00F24DDA"/>
    <w:rsid w:val="00F27E07"/>
    <w:rsid w:val="00F302DE"/>
    <w:rsid w:val="00F307A3"/>
    <w:rsid w:val="00F32FF4"/>
    <w:rsid w:val="00F35FFE"/>
    <w:rsid w:val="00F37B6C"/>
    <w:rsid w:val="00F4037C"/>
    <w:rsid w:val="00F42061"/>
    <w:rsid w:val="00F44EB5"/>
    <w:rsid w:val="00F5143F"/>
    <w:rsid w:val="00F5182D"/>
    <w:rsid w:val="00F5285D"/>
    <w:rsid w:val="00F53256"/>
    <w:rsid w:val="00F5492C"/>
    <w:rsid w:val="00F56565"/>
    <w:rsid w:val="00F56D26"/>
    <w:rsid w:val="00F61C57"/>
    <w:rsid w:val="00F61E0E"/>
    <w:rsid w:val="00F621AA"/>
    <w:rsid w:val="00F6290C"/>
    <w:rsid w:val="00F63EBA"/>
    <w:rsid w:val="00F64C9F"/>
    <w:rsid w:val="00F664C0"/>
    <w:rsid w:val="00F733C9"/>
    <w:rsid w:val="00F73E3B"/>
    <w:rsid w:val="00F74BF7"/>
    <w:rsid w:val="00F7617B"/>
    <w:rsid w:val="00F77AB5"/>
    <w:rsid w:val="00F82608"/>
    <w:rsid w:val="00F8268C"/>
    <w:rsid w:val="00F86D29"/>
    <w:rsid w:val="00F87CCB"/>
    <w:rsid w:val="00F90640"/>
    <w:rsid w:val="00F90B50"/>
    <w:rsid w:val="00F90C7B"/>
    <w:rsid w:val="00F91678"/>
    <w:rsid w:val="00F945C5"/>
    <w:rsid w:val="00F955E2"/>
    <w:rsid w:val="00F961AD"/>
    <w:rsid w:val="00F964F7"/>
    <w:rsid w:val="00F9692B"/>
    <w:rsid w:val="00F96D74"/>
    <w:rsid w:val="00F978A5"/>
    <w:rsid w:val="00FA05CA"/>
    <w:rsid w:val="00FA137A"/>
    <w:rsid w:val="00FA4672"/>
    <w:rsid w:val="00FA5549"/>
    <w:rsid w:val="00FA5E61"/>
    <w:rsid w:val="00FB3173"/>
    <w:rsid w:val="00FB32B1"/>
    <w:rsid w:val="00FC202D"/>
    <w:rsid w:val="00FC5289"/>
    <w:rsid w:val="00FC52B5"/>
    <w:rsid w:val="00FC6F52"/>
    <w:rsid w:val="00FC77D5"/>
    <w:rsid w:val="00FD1A1B"/>
    <w:rsid w:val="00FD2948"/>
    <w:rsid w:val="00FD614C"/>
    <w:rsid w:val="00FD7A88"/>
    <w:rsid w:val="00FE024C"/>
    <w:rsid w:val="00FE125C"/>
    <w:rsid w:val="00FE25CB"/>
    <w:rsid w:val="00FE7A33"/>
    <w:rsid w:val="00FE7DE3"/>
    <w:rsid w:val="00FF041D"/>
    <w:rsid w:val="00FF0722"/>
    <w:rsid w:val="00FF228E"/>
    <w:rsid w:val="00FF49F6"/>
    <w:rsid w:val="00FF51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5E6EB"/>
  <w14:defaultImageDpi w14:val="32767"/>
  <w15:chartTrackingRefBased/>
  <w15:docId w15:val="{6701EF46-2710-7B45-A2F3-1498B4EB6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6390C"/>
    <w:rPr>
      <w:rFonts w:ascii="Times New Roman" w:eastAsia="Times New Roman" w:hAnsi="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32EB"/>
    <w:pPr>
      <w:tabs>
        <w:tab w:val="center" w:pos="4680"/>
        <w:tab w:val="right" w:pos="9360"/>
      </w:tabs>
    </w:pPr>
    <w:rPr>
      <w:rFonts w:ascii="Calibri" w:eastAsia="Calibri" w:hAnsi="Calibri"/>
    </w:rPr>
  </w:style>
  <w:style w:type="character" w:customStyle="1" w:styleId="HeaderChar">
    <w:name w:val="Header Char"/>
    <w:basedOn w:val="DefaultParagraphFont"/>
    <w:link w:val="Header"/>
    <w:uiPriority w:val="99"/>
    <w:rsid w:val="008032EB"/>
  </w:style>
  <w:style w:type="paragraph" w:styleId="Footer">
    <w:name w:val="footer"/>
    <w:basedOn w:val="Normal"/>
    <w:link w:val="FooterChar"/>
    <w:uiPriority w:val="99"/>
    <w:unhideWhenUsed/>
    <w:rsid w:val="008032EB"/>
    <w:pPr>
      <w:tabs>
        <w:tab w:val="center" w:pos="4680"/>
        <w:tab w:val="right" w:pos="9360"/>
      </w:tabs>
    </w:pPr>
    <w:rPr>
      <w:rFonts w:ascii="Calibri" w:eastAsia="Calibri" w:hAnsi="Calibri"/>
    </w:rPr>
  </w:style>
  <w:style w:type="character" w:customStyle="1" w:styleId="FooterChar">
    <w:name w:val="Footer Char"/>
    <w:basedOn w:val="DefaultParagraphFont"/>
    <w:link w:val="Footer"/>
    <w:uiPriority w:val="99"/>
    <w:rsid w:val="008032EB"/>
  </w:style>
  <w:style w:type="paragraph" w:styleId="BalloonText">
    <w:name w:val="Balloon Text"/>
    <w:basedOn w:val="Normal"/>
    <w:link w:val="BalloonTextChar"/>
    <w:uiPriority w:val="99"/>
    <w:semiHidden/>
    <w:unhideWhenUsed/>
    <w:rsid w:val="008032EB"/>
    <w:rPr>
      <w:rFonts w:eastAsia="Calibri"/>
      <w:sz w:val="18"/>
      <w:szCs w:val="18"/>
    </w:rPr>
  </w:style>
  <w:style w:type="character" w:customStyle="1" w:styleId="BalloonTextChar">
    <w:name w:val="Balloon Text Char"/>
    <w:link w:val="BalloonText"/>
    <w:uiPriority w:val="99"/>
    <w:semiHidden/>
    <w:rsid w:val="008032EB"/>
    <w:rPr>
      <w:rFonts w:ascii="Times New Roman" w:hAnsi="Times New Roman" w:cs="Times New Roman"/>
      <w:sz w:val="18"/>
      <w:szCs w:val="18"/>
    </w:rPr>
  </w:style>
  <w:style w:type="paragraph" w:customStyle="1" w:styleId="Default">
    <w:name w:val="Default"/>
    <w:rsid w:val="00200B4A"/>
    <w:pPr>
      <w:autoSpaceDE w:val="0"/>
      <w:autoSpaceDN w:val="0"/>
      <w:adjustRightInd w:val="0"/>
    </w:pPr>
    <w:rPr>
      <w:rFonts w:ascii="Minion Pro" w:hAnsi="Minion Pro" w:cs="Minion Pro"/>
      <w:color w:val="000000"/>
      <w:sz w:val="24"/>
      <w:szCs w:val="24"/>
    </w:rPr>
  </w:style>
  <w:style w:type="paragraph" w:styleId="ListParagraph">
    <w:name w:val="List Paragraph"/>
    <w:basedOn w:val="Normal"/>
    <w:uiPriority w:val="34"/>
    <w:qFormat/>
    <w:rsid w:val="009D52A2"/>
    <w:pPr>
      <w:ind w:left="720"/>
      <w:contextualSpacing/>
    </w:pPr>
    <w:rPr>
      <w:rFonts w:ascii="Calibri" w:eastAsia="Calibri" w:hAnsi="Calibri"/>
    </w:rPr>
  </w:style>
  <w:style w:type="character" w:customStyle="1" w:styleId="hgkelc">
    <w:name w:val="hgkelc"/>
    <w:basedOn w:val="DefaultParagraphFont"/>
    <w:rsid w:val="007E1701"/>
  </w:style>
  <w:style w:type="character" w:styleId="Hyperlink">
    <w:name w:val="Hyperlink"/>
    <w:uiPriority w:val="99"/>
    <w:unhideWhenUsed/>
    <w:rsid w:val="007E1701"/>
    <w:rPr>
      <w:color w:val="0000FF"/>
      <w:u w:val="single"/>
    </w:rPr>
  </w:style>
  <w:style w:type="character" w:styleId="Emphasis">
    <w:name w:val="Emphasis"/>
    <w:uiPriority w:val="20"/>
    <w:qFormat/>
    <w:rsid w:val="007E1701"/>
    <w:rPr>
      <w:i/>
      <w:iCs/>
    </w:rPr>
  </w:style>
  <w:style w:type="character" w:customStyle="1" w:styleId="small-caps">
    <w:name w:val="small-caps"/>
    <w:basedOn w:val="DefaultParagraphFont"/>
    <w:rsid w:val="007E1701"/>
  </w:style>
  <w:style w:type="paragraph" w:styleId="Bibliography">
    <w:name w:val="Bibliography"/>
    <w:basedOn w:val="Normal"/>
    <w:next w:val="Normal"/>
    <w:uiPriority w:val="37"/>
    <w:unhideWhenUsed/>
    <w:rsid w:val="0019454F"/>
    <w:pPr>
      <w:spacing w:after="240"/>
    </w:pPr>
    <w:rPr>
      <w:rFonts w:ascii="Calibri" w:eastAsia="Calibri" w:hAnsi="Calibri"/>
    </w:rPr>
  </w:style>
  <w:style w:type="character" w:customStyle="1" w:styleId="captions">
    <w:name w:val="captions"/>
    <w:basedOn w:val="DefaultParagraphFont"/>
    <w:rsid w:val="00A52973"/>
  </w:style>
  <w:style w:type="character" w:customStyle="1" w:styleId="label">
    <w:name w:val="label"/>
    <w:basedOn w:val="DefaultParagraphFont"/>
    <w:rsid w:val="00A52973"/>
  </w:style>
  <w:style w:type="character" w:customStyle="1" w:styleId="italic">
    <w:name w:val="italic"/>
    <w:basedOn w:val="DefaultParagraphFont"/>
    <w:rsid w:val="00057A1C"/>
  </w:style>
  <w:style w:type="character" w:customStyle="1" w:styleId="apple-converted-space">
    <w:name w:val="apple-converted-space"/>
    <w:basedOn w:val="DefaultParagraphFont"/>
    <w:rsid w:val="00057A1C"/>
  </w:style>
  <w:style w:type="character" w:customStyle="1" w:styleId="acopre">
    <w:name w:val="acopre"/>
    <w:basedOn w:val="DefaultParagraphFont"/>
    <w:rsid w:val="00275F0C"/>
  </w:style>
  <w:style w:type="character" w:styleId="PageNumber">
    <w:name w:val="page number"/>
    <w:basedOn w:val="DefaultParagraphFont"/>
    <w:uiPriority w:val="99"/>
    <w:semiHidden/>
    <w:unhideWhenUsed/>
    <w:rsid w:val="00FD2948"/>
  </w:style>
  <w:style w:type="character" w:customStyle="1" w:styleId="textlayer--absolute">
    <w:name w:val="textlayer--absolute"/>
    <w:basedOn w:val="DefaultParagraphFont"/>
    <w:rsid w:val="00304F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354474">
      <w:bodyDiv w:val="1"/>
      <w:marLeft w:val="0"/>
      <w:marRight w:val="0"/>
      <w:marTop w:val="0"/>
      <w:marBottom w:val="0"/>
      <w:divBdr>
        <w:top w:val="none" w:sz="0" w:space="0" w:color="auto"/>
        <w:left w:val="none" w:sz="0" w:space="0" w:color="auto"/>
        <w:bottom w:val="none" w:sz="0" w:space="0" w:color="auto"/>
        <w:right w:val="none" w:sz="0" w:space="0" w:color="auto"/>
      </w:divBdr>
    </w:div>
    <w:div w:id="61368277">
      <w:bodyDiv w:val="1"/>
      <w:marLeft w:val="0"/>
      <w:marRight w:val="0"/>
      <w:marTop w:val="0"/>
      <w:marBottom w:val="0"/>
      <w:divBdr>
        <w:top w:val="none" w:sz="0" w:space="0" w:color="auto"/>
        <w:left w:val="none" w:sz="0" w:space="0" w:color="auto"/>
        <w:bottom w:val="none" w:sz="0" w:space="0" w:color="auto"/>
        <w:right w:val="none" w:sz="0" w:space="0" w:color="auto"/>
      </w:divBdr>
      <w:divsChild>
        <w:div w:id="1189562166">
          <w:marLeft w:val="0"/>
          <w:marRight w:val="0"/>
          <w:marTop w:val="0"/>
          <w:marBottom w:val="0"/>
          <w:divBdr>
            <w:top w:val="none" w:sz="0" w:space="0" w:color="auto"/>
            <w:left w:val="none" w:sz="0" w:space="0" w:color="auto"/>
            <w:bottom w:val="none" w:sz="0" w:space="0" w:color="auto"/>
            <w:right w:val="none" w:sz="0" w:space="0" w:color="auto"/>
          </w:divBdr>
          <w:divsChild>
            <w:div w:id="166384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80678">
      <w:bodyDiv w:val="1"/>
      <w:marLeft w:val="0"/>
      <w:marRight w:val="0"/>
      <w:marTop w:val="0"/>
      <w:marBottom w:val="0"/>
      <w:divBdr>
        <w:top w:val="none" w:sz="0" w:space="0" w:color="auto"/>
        <w:left w:val="none" w:sz="0" w:space="0" w:color="auto"/>
        <w:bottom w:val="none" w:sz="0" w:space="0" w:color="auto"/>
        <w:right w:val="none" w:sz="0" w:space="0" w:color="auto"/>
      </w:divBdr>
    </w:div>
    <w:div w:id="232356188">
      <w:bodyDiv w:val="1"/>
      <w:marLeft w:val="0"/>
      <w:marRight w:val="0"/>
      <w:marTop w:val="0"/>
      <w:marBottom w:val="0"/>
      <w:divBdr>
        <w:top w:val="none" w:sz="0" w:space="0" w:color="auto"/>
        <w:left w:val="none" w:sz="0" w:space="0" w:color="auto"/>
        <w:bottom w:val="none" w:sz="0" w:space="0" w:color="auto"/>
        <w:right w:val="none" w:sz="0" w:space="0" w:color="auto"/>
      </w:divBdr>
    </w:div>
    <w:div w:id="233781745">
      <w:bodyDiv w:val="1"/>
      <w:marLeft w:val="0"/>
      <w:marRight w:val="0"/>
      <w:marTop w:val="0"/>
      <w:marBottom w:val="0"/>
      <w:divBdr>
        <w:top w:val="none" w:sz="0" w:space="0" w:color="auto"/>
        <w:left w:val="none" w:sz="0" w:space="0" w:color="auto"/>
        <w:bottom w:val="none" w:sz="0" w:space="0" w:color="auto"/>
        <w:right w:val="none" w:sz="0" w:space="0" w:color="auto"/>
      </w:divBdr>
    </w:div>
    <w:div w:id="244459392">
      <w:bodyDiv w:val="1"/>
      <w:marLeft w:val="0"/>
      <w:marRight w:val="0"/>
      <w:marTop w:val="0"/>
      <w:marBottom w:val="0"/>
      <w:divBdr>
        <w:top w:val="none" w:sz="0" w:space="0" w:color="auto"/>
        <w:left w:val="none" w:sz="0" w:space="0" w:color="auto"/>
        <w:bottom w:val="none" w:sz="0" w:space="0" w:color="auto"/>
        <w:right w:val="none" w:sz="0" w:space="0" w:color="auto"/>
      </w:divBdr>
    </w:div>
    <w:div w:id="254021878">
      <w:bodyDiv w:val="1"/>
      <w:marLeft w:val="0"/>
      <w:marRight w:val="0"/>
      <w:marTop w:val="0"/>
      <w:marBottom w:val="0"/>
      <w:divBdr>
        <w:top w:val="none" w:sz="0" w:space="0" w:color="auto"/>
        <w:left w:val="none" w:sz="0" w:space="0" w:color="auto"/>
        <w:bottom w:val="none" w:sz="0" w:space="0" w:color="auto"/>
        <w:right w:val="none" w:sz="0" w:space="0" w:color="auto"/>
      </w:divBdr>
    </w:div>
    <w:div w:id="262615781">
      <w:bodyDiv w:val="1"/>
      <w:marLeft w:val="0"/>
      <w:marRight w:val="0"/>
      <w:marTop w:val="0"/>
      <w:marBottom w:val="0"/>
      <w:divBdr>
        <w:top w:val="none" w:sz="0" w:space="0" w:color="auto"/>
        <w:left w:val="none" w:sz="0" w:space="0" w:color="auto"/>
        <w:bottom w:val="none" w:sz="0" w:space="0" w:color="auto"/>
        <w:right w:val="none" w:sz="0" w:space="0" w:color="auto"/>
      </w:divBdr>
    </w:div>
    <w:div w:id="273513861">
      <w:bodyDiv w:val="1"/>
      <w:marLeft w:val="0"/>
      <w:marRight w:val="0"/>
      <w:marTop w:val="0"/>
      <w:marBottom w:val="0"/>
      <w:divBdr>
        <w:top w:val="none" w:sz="0" w:space="0" w:color="auto"/>
        <w:left w:val="none" w:sz="0" w:space="0" w:color="auto"/>
        <w:bottom w:val="none" w:sz="0" w:space="0" w:color="auto"/>
        <w:right w:val="none" w:sz="0" w:space="0" w:color="auto"/>
      </w:divBdr>
    </w:div>
    <w:div w:id="299313990">
      <w:bodyDiv w:val="1"/>
      <w:marLeft w:val="0"/>
      <w:marRight w:val="0"/>
      <w:marTop w:val="0"/>
      <w:marBottom w:val="0"/>
      <w:divBdr>
        <w:top w:val="none" w:sz="0" w:space="0" w:color="auto"/>
        <w:left w:val="none" w:sz="0" w:space="0" w:color="auto"/>
        <w:bottom w:val="none" w:sz="0" w:space="0" w:color="auto"/>
        <w:right w:val="none" w:sz="0" w:space="0" w:color="auto"/>
      </w:divBdr>
    </w:div>
    <w:div w:id="304433908">
      <w:bodyDiv w:val="1"/>
      <w:marLeft w:val="0"/>
      <w:marRight w:val="0"/>
      <w:marTop w:val="0"/>
      <w:marBottom w:val="0"/>
      <w:divBdr>
        <w:top w:val="none" w:sz="0" w:space="0" w:color="auto"/>
        <w:left w:val="none" w:sz="0" w:space="0" w:color="auto"/>
        <w:bottom w:val="none" w:sz="0" w:space="0" w:color="auto"/>
        <w:right w:val="none" w:sz="0" w:space="0" w:color="auto"/>
      </w:divBdr>
    </w:div>
    <w:div w:id="316038309">
      <w:bodyDiv w:val="1"/>
      <w:marLeft w:val="0"/>
      <w:marRight w:val="0"/>
      <w:marTop w:val="0"/>
      <w:marBottom w:val="0"/>
      <w:divBdr>
        <w:top w:val="none" w:sz="0" w:space="0" w:color="auto"/>
        <w:left w:val="none" w:sz="0" w:space="0" w:color="auto"/>
        <w:bottom w:val="none" w:sz="0" w:space="0" w:color="auto"/>
        <w:right w:val="none" w:sz="0" w:space="0" w:color="auto"/>
      </w:divBdr>
    </w:div>
    <w:div w:id="345794912">
      <w:bodyDiv w:val="1"/>
      <w:marLeft w:val="0"/>
      <w:marRight w:val="0"/>
      <w:marTop w:val="0"/>
      <w:marBottom w:val="0"/>
      <w:divBdr>
        <w:top w:val="none" w:sz="0" w:space="0" w:color="auto"/>
        <w:left w:val="none" w:sz="0" w:space="0" w:color="auto"/>
        <w:bottom w:val="none" w:sz="0" w:space="0" w:color="auto"/>
        <w:right w:val="none" w:sz="0" w:space="0" w:color="auto"/>
      </w:divBdr>
    </w:div>
    <w:div w:id="346837089">
      <w:bodyDiv w:val="1"/>
      <w:marLeft w:val="0"/>
      <w:marRight w:val="0"/>
      <w:marTop w:val="0"/>
      <w:marBottom w:val="0"/>
      <w:divBdr>
        <w:top w:val="none" w:sz="0" w:space="0" w:color="auto"/>
        <w:left w:val="none" w:sz="0" w:space="0" w:color="auto"/>
        <w:bottom w:val="none" w:sz="0" w:space="0" w:color="auto"/>
        <w:right w:val="none" w:sz="0" w:space="0" w:color="auto"/>
      </w:divBdr>
    </w:div>
    <w:div w:id="354311333">
      <w:bodyDiv w:val="1"/>
      <w:marLeft w:val="0"/>
      <w:marRight w:val="0"/>
      <w:marTop w:val="0"/>
      <w:marBottom w:val="0"/>
      <w:divBdr>
        <w:top w:val="none" w:sz="0" w:space="0" w:color="auto"/>
        <w:left w:val="none" w:sz="0" w:space="0" w:color="auto"/>
        <w:bottom w:val="none" w:sz="0" w:space="0" w:color="auto"/>
        <w:right w:val="none" w:sz="0" w:space="0" w:color="auto"/>
      </w:divBdr>
    </w:div>
    <w:div w:id="357319423">
      <w:bodyDiv w:val="1"/>
      <w:marLeft w:val="0"/>
      <w:marRight w:val="0"/>
      <w:marTop w:val="0"/>
      <w:marBottom w:val="0"/>
      <w:divBdr>
        <w:top w:val="none" w:sz="0" w:space="0" w:color="auto"/>
        <w:left w:val="none" w:sz="0" w:space="0" w:color="auto"/>
        <w:bottom w:val="none" w:sz="0" w:space="0" w:color="auto"/>
        <w:right w:val="none" w:sz="0" w:space="0" w:color="auto"/>
      </w:divBdr>
    </w:div>
    <w:div w:id="387844092">
      <w:bodyDiv w:val="1"/>
      <w:marLeft w:val="0"/>
      <w:marRight w:val="0"/>
      <w:marTop w:val="0"/>
      <w:marBottom w:val="0"/>
      <w:divBdr>
        <w:top w:val="none" w:sz="0" w:space="0" w:color="auto"/>
        <w:left w:val="none" w:sz="0" w:space="0" w:color="auto"/>
        <w:bottom w:val="none" w:sz="0" w:space="0" w:color="auto"/>
        <w:right w:val="none" w:sz="0" w:space="0" w:color="auto"/>
      </w:divBdr>
    </w:div>
    <w:div w:id="420951774">
      <w:bodyDiv w:val="1"/>
      <w:marLeft w:val="0"/>
      <w:marRight w:val="0"/>
      <w:marTop w:val="0"/>
      <w:marBottom w:val="0"/>
      <w:divBdr>
        <w:top w:val="none" w:sz="0" w:space="0" w:color="auto"/>
        <w:left w:val="none" w:sz="0" w:space="0" w:color="auto"/>
        <w:bottom w:val="none" w:sz="0" w:space="0" w:color="auto"/>
        <w:right w:val="none" w:sz="0" w:space="0" w:color="auto"/>
      </w:divBdr>
    </w:div>
    <w:div w:id="516117530">
      <w:bodyDiv w:val="1"/>
      <w:marLeft w:val="0"/>
      <w:marRight w:val="0"/>
      <w:marTop w:val="0"/>
      <w:marBottom w:val="0"/>
      <w:divBdr>
        <w:top w:val="none" w:sz="0" w:space="0" w:color="auto"/>
        <w:left w:val="none" w:sz="0" w:space="0" w:color="auto"/>
        <w:bottom w:val="none" w:sz="0" w:space="0" w:color="auto"/>
        <w:right w:val="none" w:sz="0" w:space="0" w:color="auto"/>
      </w:divBdr>
    </w:div>
    <w:div w:id="620452480">
      <w:bodyDiv w:val="1"/>
      <w:marLeft w:val="0"/>
      <w:marRight w:val="0"/>
      <w:marTop w:val="0"/>
      <w:marBottom w:val="0"/>
      <w:divBdr>
        <w:top w:val="none" w:sz="0" w:space="0" w:color="auto"/>
        <w:left w:val="none" w:sz="0" w:space="0" w:color="auto"/>
        <w:bottom w:val="none" w:sz="0" w:space="0" w:color="auto"/>
        <w:right w:val="none" w:sz="0" w:space="0" w:color="auto"/>
      </w:divBdr>
    </w:div>
    <w:div w:id="634486320">
      <w:bodyDiv w:val="1"/>
      <w:marLeft w:val="0"/>
      <w:marRight w:val="0"/>
      <w:marTop w:val="0"/>
      <w:marBottom w:val="0"/>
      <w:divBdr>
        <w:top w:val="none" w:sz="0" w:space="0" w:color="auto"/>
        <w:left w:val="none" w:sz="0" w:space="0" w:color="auto"/>
        <w:bottom w:val="none" w:sz="0" w:space="0" w:color="auto"/>
        <w:right w:val="none" w:sz="0" w:space="0" w:color="auto"/>
      </w:divBdr>
    </w:div>
    <w:div w:id="685717436">
      <w:bodyDiv w:val="1"/>
      <w:marLeft w:val="0"/>
      <w:marRight w:val="0"/>
      <w:marTop w:val="0"/>
      <w:marBottom w:val="0"/>
      <w:divBdr>
        <w:top w:val="none" w:sz="0" w:space="0" w:color="auto"/>
        <w:left w:val="none" w:sz="0" w:space="0" w:color="auto"/>
        <w:bottom w:val="none" w:sz="0" w:space="0" w:color="auto"/>
        <w:right w:val="none" w:sz="0" w:space="0" w:color="auto"/>
      </w:divBdr>
    </w:div>
    <w:div w:id="694232157">
      <w:bodyDiv w:val="1"/>
      <w:marLeft w:val="0"/>
      <w:marRight w:val="0"/>
      <w:marTop w:val="0"/>
      <w:marBottom w:val="0"/>
      <w:divBdr>
        <w:top w:val="none" w:sz="0" w:space="0" w:color="auto"/>
        <w:left w:val="none" w:sz="0" w:space="0" w:color="auto"/>
        <w:bottom w:val="none" w:sz="0" w:space="0" w:color="auto"/>
        <w:right w:val="none" w:sz="0" w:space="0" w:color="auto"/>
      </w:divBdr>
    </w:div>
    <w:div w:id="711542410">
      <w:bodyDiv w:val="1"/>
      <w:marLeft w:val="0"/>
      <w:marRight w:val="0"/>
      <w:marTop w:val="0"/>
      <w:marBottom w:val="0"/>
      <w:divBdr>
        <w:top w:val="none" w:sz="0" w:space="0" w:color="auto"/>
        <w:left w:val="none" w:sz="0" w:space="0" w:color="auto"/>
        <w:bottom w:val="none" w:sz="0" w:space="0" w:color="auto"/>
        <w:right w:val="none" w:sz="0" w:space="0" w:color="auto"/>
      </w:divBdr>
    </w:div>
    <w:div w:id="716323043">
      <w:bodyDiv w:val="1"/>
      <w:marLeft w:val="0"/>
      <w:marRight w:val="0"/>
      <w:marTop w:val="0"/>
      <w:marBottom w:val="0"/>
      <w:divBdr>
        <w:top w:val="none" w:sz="0" w:space="0" w:color="auto"/>
        <w:left w:val="none" w:sz="0" w:space="0" w:color="auto"/>
        <w:bottom w:val="none" w:sz="0" w:space="0" w:color="auto"/>
        <w:right w:val="none" w:sz="0" w:space="0" w:color="auto"/>
      </w:divBdr>
    </w:div>
    <w:div w:id="736630618">
      <w:bodyDiv w:val="1"/>
      <w:marLeft w:val="0"/>
      <w:marRight w:val="0"/>
      <w:marTop w:val="0"/>
      <w:marBottom w:val="0"/>
      <w:divBdr>
        <w:top w:val="none" w:sz="0" w:space="0" w:color="auto"/>
        <w:left w:val="none" w:sz="0" w:space="0" w:color="auto"/>
        <w:bottom w:val="none" w:sz="0" w:space="0" w:color="auto"/>
        <w:right w:val="none" w:sz="0" w:space="0" w:color="auto"/>
      </w:divBdr>
    </w:div>
    <w:div w:id="812481679">
      <w:bodyDiv w:val="1"/>
      <w:marLeft w:val="0"/>
      <w:marRight w:val="0"/>
      <w:marTop w:val="0"/>
      <w:marBottom w:val="0"/>
      <w:divBdr>
        <w:top w:val="none" w:sz="0" w:space="0" w:color="auto"/>
        <w:left w:val="none" w:sz="0" w:space="0" w:color="auto"/>
        <w:bottom w:val="none" w:sz="0" w:space="0" w:color="auto"/>
        <w:right w:val="none" w:sz="0" w:space="0" w:color="auto"/>
      </w:divBdr>
    </w:div>
    <w:div w:id="914359149">
      <w:bodyDiv w:val="1"/>
      <w:marLeft w:val="0"/>
      <w:marRight w:val="0"/>
      <w:marTop w:val="0"/>
      <w:marBottom w:val="0"/>
      <w:divBdr>
        <w:top w:val="none" w:sz="0" w:space="0" w:color="auto"/>
        <w:left w:val="none" w:sz="0" w:space="0" w:color="auto"/>
        <w:bottom w:val="none" w:sz="0" w:space="0" w:color="auto"/>
        <w:right w:val="none" w:sz="0" w:space="0" w:color="auto"/>
      </w:divBdr>
    </w:div>
    <w:div w:id="939720799">
      <w:bodyDiv w:val="1"/>
      <w:marLeft w:val="0"/>
      <w:marRight w:val="0"/>
      <w:marTop w:val="0"/>
      <w:marBottom w:val="0"/>
      <w:divBdr>
        <w:top w:val="none" w:sz="0" w:space="0" w:color="auto"/>
        <w:left w:val="none" w:sz="0" w:space="0" w:color="auto"/>
        <w:bottom w:val="none" w:sz="0" w:space="0" w:color="auto"/>
        <w:right w:val="none" w:sz="0" w:space="0" w:color="auto"/>
      </w:divBdr>
    </w:div>
    <w:div w:id="940837670">
      <w:bodyDiv w:val="1"/>
      <w:marLeft w:val="0"/>
      <w:marRight w:val="0"/>
      <w:marTop w:val="0"/>
      <w:marBottom w:val="0"/>
      <w:divBdr>
        <w:top w:val="none" w:sz="0" w:space="0" w:color="auto"/>
        <w:left w:val="none" w:sz="0" w:space="0" w:color="auto"/>
        <w:bottom w:val="none" w:sz="0" w:space="0" w:color="auto"/>
        <w:right w:val="none" w:sz="0" w:space="0" w:color="auto"/>
      </w:divBdr>
      <w:divsChild>
        <w:div w:id="2003727887">
          <w:marLeft w:val="0"/>
          <w:marRight w:val="0"/>
          <w:marTop w:val="0"/>
          <w:marBottom w:val="0"/>
          <w:divBdr>
            <w:top w:val="none" w:sz="0" w:space="0" w:color="auto"/>
            <w:left w:val="none" w:sz="0" w:space="0" w:color="auto"/>
            <w:bottom w:val="none" w:sz="0" w:space="0" w:color="auto"/>
            <w:right w:val="none" w:sz="0" w:space="0" w:color="auto"/>
          </w:divBdr>
          <w:divsChild>
            <w:div w:id="118636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767589">
      <w:bodyDiv w:val="1"/>
      <w:marLeft w:val="0"/>
      <w:marRight w:val="0"/>
      <w:marTop w:val="0"/>
      <w:marBottom w:val="0"/>
      <w:divBdr>
        <w:top w:val="none" w:sz="0" w:space="0" w:color="auto"/>
        <w:left w:val="none" w:sz="0" w:space="0" w:color="auto"/>
        <w:bottom w:val="none" w:sz="0" w:space="0" w:color="auto"/>
        <w:right w:val="none" w:sz="0" w:space="0" w:color="auto"/>
      </w:divBdr>
    </w:div>
    <w:div w:id="1050686327">
      <w:bodyDiv w:val="1"/>
      <w:marLeft w:val="0"/>
      <w:marRight w:val="0"/>
      <w:marTop w:val="0"/>
      <w:marBottom w:val="0"/>
      <w:divBdr>
        <w:top w:val="none" w:sz="0" w:space="0" w:color="auto"/>
        <w:left w:val="none" w:sz="0" w:space="0" w:color="auto"/>
        <w:bottom w:val="none" w:sz="0" w:space="0" w:color="auto"/>
        <w:right w:val="none" w:sz="0" w:space="0" w:color="auto"/>
      </w:divBdr>
    </w:div>
    <w:div w:id="1184395849">
      <w:bodyDiv w:val="1"/>
      <w:marLeft w:val="0"/>
      <w:marRight w:val="0"/>
      <w:marTop w:val="0"/>
      <w:marBottom w:val="0"/>
      <w:divBdr>
        <w:top w:val="none" w:sz="0" w:space="0" w:color="auto"/>
        <w:left w:val="none" w:sz="0" w:space="0" w:color="auto"/>
        <w:bottom w:val="none" w:sz="0" w:space="0" w:color="auto"/>
        <w:right w:val="none" w:sz="0" w:space="0" w:color="auto"/>
      </w:divBdr>
    </w:div>
    <w:div w:id="1198082820">
      <w:bodyDiv w:val="1"/>
      <w:marLeft w:val="0"/>
      <w:marRight w:val="0"/>
      <w:marTop w:val="0"/>
      <w:marBottom w:val="0"/>
      <w:divBdr>
        <w:top w:val="none" w:sz="0" w:space="0" w:color="auto"/>
        <w:left w:val="none" w:sz="0" w:space="0" w:color="auto"/>
        <w:bottom w:val="none" w:sz="0" w:space="0" w:color="auto"/>
        <w:right w:val="none" w:sz="0" w:space="0" w:color="auto"/>
      </w:divBdr>
    </w:div>
    <w:div w:id="1232305270">
      <w:bodyDiv w:val="1"/>
      <w:marLeft w:val="0"/>
      <w:marRight w:val="0"/>
      <w:marTop w:val="0"/>
      <w:marBottom w:val="0"/>
      <w:divBdr>
        <w:top w:val="none" w:sz="0" w:space="0" w:color="auto"/>
        <w:left w:val="none" w:sz="0" w:space="0" w:color="auto"/>
        <w:bottom w:val="none" w:sz="0" w:space="0" w:color="auto"/>
        <w:right w:val="none" w:sz="0" w:space="0" w:color="auto"/>
      </w:divBdr>
      <w:divsChild>
        <w:div w:id="2011252573">
          <w:marLeft w:val="0"/>
          <w:marRight w:val="0"/>
          <w:marTop w:val="0"/>
          <w:marBottom w:val="0"/>
          <w:divBdr>
            <w:top w:val="none" w:sz="0" w:space="0" w:color="auto"/>
            <w:left w:val="none" w:sz="0" w:space="0" w:color="auto"/>
            <w:bottom w:val="none" w:sz="0" w:space="0" w:color="auto"/>
            <w:right w:val="none" w:sz="0" w:space="0" w:color="auto"/>
          </w:divBdr>
          <w:divsChild>
            <w:div w:id="20171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175177">
      <w:bodyDiv w:val="1"/>
      <w:marLeft w:val="0"/>
      <w:marRight w:val="0"/>
      <w:marTop w:val="0"/>
      <w:marBottom w:val="0"/>
      <w:divBdr>
        <w:top w:val="none" w:sz="0" w:space="0" w:color="auto"/>
        <w:left w:val="none" w:sz="0" w:space="0" w:color="auto"/>
        <w:bottom w:val="none" w:sz="0" w:space="0" w:color="auto"/>
        <w:right w:val="none" w:sz="0" w:space="0" w:color="auto"/>
      </w:divBdr>
    </w:div>
    <w:div w:id="1472671783">
      <w:bodyDiv w:val="1"/>
      <w:marLeft w:val="0"/>
      <w:marRight w:val="0"/>
      <w:marTop w:val="0"/>
      <w:marBottom w:val="0"/>
      <w:divBdr>
        <w:top w:val="none" w:sz="0" w:space="0" w:color="auto"/>
        <w:left w:val="none" w:sz="0" w:space="0" w:color="auto"/>
        <w:bottom w:val="none" w:sz="0" w:space="0" w:color="auto"/>
        <w:right w:val="none" w:sz="0" w:space="0" w:color="auto"/>
      </w:divBdr>
    </w:div>
    <w:div w:id="1503163593">
      <w:bodyDiv w:val="1"/>
      <w:marLeft w:val="0"/>
      <w:marRight w:val="0"/>
      <w:marTop w:val="0"/>
      <w:marBottom w:val="0"/>
      <w:divBdr>
        <w:top w:val="none" w:sz="0" w:space="0" w:color="auto"/>
        <w:left w:val="none" w:sz="0" w:space="0" w:color="auto"/>
        <w:bottom w:val="none" w:sz="0" w:space="0" w:color="auto"/>
        <w:right w:val="none" w:sz="0" w:space="0" w:color="auto"/>
      </w:divBdr>
    </w:div>
    <w:div w:id="1510565718">
      <w:bodyDiv w:val="1"/>
      <w:marLeft w:val="0"/>
      <w:marRight w:val="0"/>
      <w:marTop w:val="0"/>
      <w:marBottom w:val="0"/>
      <w:divBdr>
        <w:top w:val="none" w:sz="0" w:space="0" w:color="auto"/>
        <w:left w:val="none" w:sz="0" w:space="0" w:color="auto"/>
        <w:bottom w:val="none" w:sz="0" w:space="0" w:color="auto"/>
        <w:right w:val="none" w:sz="0" w:space="0" w:color="auto"/>
      </w:divBdr>
      <w:divsChild>
        <w:div w:id="2108034084">
          <w:marLeft w:val="0"/>
          <w:marRight w:val="0"/>
          <w:marTop w:val="0"/>
          <w:marBottom w:val="0"/>
          <w:divBdr>
            <w:top w:val="none" w:sz="0" w:space="0" w:color="auto"/>
            <w:left w:val="none" w:sz="0" w:space="0" w:color="auto"/>
            <w:bottom w:val="none" w:sz="0" w:space="0" w:color="auto"/>
            <w:right w:val="none" w:sz="0" w:space="0" w:color="auto"/>
          </w:divBdr>
          <w:divsChild>
            <w:div w:id="54102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213584">
      <w:bodyDiv w:val="1"/>
      <w:marLeft w:val="0"/>
      <w:marRight w:val="0"/>
      <w:marTop w:val="0"/>
      <w:marBottom w:val="0"/>
      <w:divBdr>
        <w:top w:val="none" w:sz="0" w:space="0" w:color="auto"/>
        <w:left w:val="none" w:sz="0" w:space="0" w:color="auto"/>
        <w:bottom w:val="none" w:sz="0" w:space="0" w:color="auto"/>
        <w:right w:val="none" w:sz="0" w:space="0" w:color="auto"/>
      </w:divBdr>
    </w:div>
    <w:div w:id="1547447255">
      <w:bodyDiv w:val="1"/>
      <w:marLeft w:val="0"/>
      <w:marRight w:val="0"/>
      <w:marTop w:val="0"/>
      <w:marBottom w:val="0"/>
      <w:divBdr>
        <w:top w:val="none" w:sz="0" w:space="0" w:color="auto"/>
        <w:left w:val="none" w:sz="0" w:space="0" w:color="auto"/>
        <w:bottom w:val="none" w:sz="0" w:space="0" w:color="auto"/>
        <w:right w:val="none" w:sz="0" w:space="0" w:color="auto"/>
      </w:divBdr>
    </w:div>
    <w:div w:id="1553423034">
      <w:bodyDiv w:val="1"/>
      <w:marLeft w:val="0"/>
      <w:marRight w:val="0"/>
      <w:marTop w:val="0"/>
      <w:marBottom w:val="0"/>
      <w:divBdr>
        <w:top w:val="none" w:sz="0" w:space="0" w:color="auto"/>
        <w:left w:val="none" w:sz="0" w:space="0" w:color="auto"/>
        <w:bottom w:val="none" w:sz="0" w:space="0" w:color="auto"/>
        <w:right w:val="none" w:sz="0" w:space="0" w:color="auto"/>
      </w:divBdr>
    </w:div>
    <w:div w:id="1661888229">
      <w:bodyDiv w:val="1"/>
      <w:marLeft w:val="0"/>
      <w:marRight w:val="0"/>
      <w:marTop w:val="0"/>
      <w:marBottom w:val="0"/>
      <w:divBdr>
        <w:top w:val="none" w:sz="0" w:space="0" w:color="auto"/>
        <w:left w:val="none" w:sz="0" w:space="0" w:color="auto"/>
        <w:bottom w:val="none" w:sz="0" w:space="0" w:color="auto"/>
        <w:right w:val="none" w:sz="0" w:space="0" w:color="auto"/>
      </w:divBdr>
      <w:divsChild>
        <w:div w:id="176891255">
          <w:marLeft w:val="0"/>
          <w:marRight w:val="0"/>
          <w:marTop w:val="0"/>
          <w:marBottom w:val="0"/>
          <w:divBdr>
            <w:top w:val="none" w:sz="0" w:space="0" w:color="auto"/>
            <w:left w:val="none" w:sz="0" w:space="0" w:color="auto"/>
            <w:bottom w:val="none" w:sz="0" w:space="0" w:color="auto"/>
            <w:right w:val="none" w:sz="0" w:space="0" w:color="auto"/>
          </w:divBdr>
          <w:divsChild>
            <w:div w:id="189550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767860">
      <w:bodyDiv w:val="1"/>
      <w:marLeft w:val="0"/>
      <w:marRight w:val="0"/>
      <w:marTop w:val="0"/>
      <w:marBottom w:val="0"/>
      <w:divBdr>
        <w:top w:val="none" w:sz="0" w:space="0" w:color="auto"/>
        <w:left w:val="none" w:sz="0" w:space="0" w:color="auto"/>
        <w:bottom w:val="none" w:sz="0" w:space="0" w:color="auto"/>
        <w:right w:val="none" w:sz="0" w:space="0" w:color="auto"/>
      </w:divBdr>
      <w:divsChild>
        <w:div w:id="1522746226">
          <w:marLeft w:val="0"/>
          <w:marRight w:val="0"/>
          <w:marTop w:val="0"/>
          <w:marBottom w:val="0"/>
          <w:divBdr>
            <w:top w:val="none" w:sz="0" w:space="0" w:color="auto"/>
            <w:left w:val="none" w:sz="0" w:space="0" w:color="auto"/>
            <w:bottom w:val="none" w:sz="0" w:space="0" w:color="auto"/>
            <w:right w:val="none" w:sz="0" w:space="0" w:color="auto"/>
          </w:divBdr>
        </w:div>
        <w:div w:id="86342563">
          <w:marLeft w:val="0"/>
          <w:marRight w:val="0"/>
          <w:marTop w:val="0"/>
          <w:marBottom w:val="0"/>
          <w:divBdr>
            <w:top w:val="none" w:sz="0" w:space="0" w:color="auto"/>
            <w:left w:val="none" w:sz="0" w:space="0" w:color="auto"/>
            <w:bottom w:val="none" w:sz="0" w:space="0" w:color="auto"/>
            <w:right w:val="none" w:sz="0" w:space="0" w:color="auto"/>
          </w:divBdr>
        </w:div>
        <w:div w:id="1195922954">
          <w:marLeft w:val="0"/>
          <w:marRight w:val="0"/>
          <w:marTop w:val="0"/>
          <w:marBottom w:val="0"/>
          <w:divBdr>
            <w:top w:val="none" w:sz="0" w:space="0" w:color="auto"/>
            <w:left w:val="none" w:sz="0" w:space="0" w:color="auto"/>
            <w:bottom w:val="none" w:sz="0" w:space="0" w:color="auto"/>
            <w:right w:val="none" w:sz="0" w:space="0" w:color="auto"/>
          </w:divBdr>
        </w:div>
        <w:div w:id="1378555298">
          <w:marLeft w:val="0"/>
          <w:marRight w:val="0"/>
          <w:marTop w:val="0"/>
          <w:marBottom w:val="0"/>
          <w:divBdr>
            <w:top w:val="none" w:sz="0" w:space="0" w:color="auto"/>
            <w:left w:val="none" w:sz="0" w:space="0" w:color="auto"/>
            <w:bottom w:val="none" w:sz="0" w:space="0" w:color="auto"/>
            <w:right w:val="none" w:sz="0" w:space="0" w:color="auto"/>
          </w:divBdr>
        </w:div>
      </w:divsChild>
    </w:div>
    <w:div w:id="1810635729">
      <w:bodyDiv w:val="1"/>
      <w:marLeft w:val="0"/>
      <w:marRight w:val="0"/>
      <w:marTop w:val="0"/>
      <w:marBottom w:val="0"/>
      <w:divBdr>
        <w:top w:val="none" w:sz="0" w:space="0" w:color="auto"/>
        <w:left w:val="none" w:sz="0" w:space="0" w:color="auto"/>
        <w:bottom w:val="none" w:sz="0" w:space="0" w:color="auto"/>
        <w:right w:val="none" w:sz="0" w:space="0" w:color="auto"/>
      </w:divBdr>
      <w:divsChild>
        <w:div w:id="849635431">
          <w:marLeft w:val="0"/>
          <w:marRight w:val="0"/>
          <w:marTop w:val="0"/>
          <w:marBottom w:val="0"/>
          <w:divBdr>
            <w:top w:val="none" w:sz="0" w:space="0" w:color="auto"/>
            <w:left w:val="none" w:sz="0" w:space="0" w:color="auto"/>
            <w:bottom w:val="none" w:sz="0" w:space="0" w:color="auto"/>
            <w:right w:val="none" w:sz="0" w:space="0" w:color="auto"/>
          </w:divBdr>
          <w:divsChild>
            <w:div w:id="120101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64134">
      <w:bodyDiv w:val="1"/>
      <w:marLeft w:val="0"/>
      <w:marRight w:val="0"/>
      <w:marTop w:val="0"/>
      <w:marBottom w:val="0"/>
      <w:divBdr>
        <w:top w:val="none" w:sz="0" w:space="0" w:color="auto"/>
        <w:left w:val="none" w:sz="0" w:space="0" w:color="auto"/>
        <w:bottom w:val="none" w:sz="0" w:space="0" w:color="auto"/>
        <w:right w:val="none" w:sz="0" w:space="0" w:color="auto"/>
      </w:divBdr>
    </w:div>
    <w:div w:id="1909610176">
      <w:bodyDiv w:val="1"/>
      <w:marLeft w:val="0"/>
      <w:marRight w:val="0"/>
      <w:marTop w:val="0"/>
      <w:marBottom w:val="0"/>
      <w:divBdr>
        <w:top w:val="none" w:sz="0" w:space="0" w:color="auto"/>
        <w:left w:val="none" w:sz="0" w:space="0" w:color="auto"/>
        <w:bottom w:val="none" w:sz="0" w:space="0" w:color="auto"/>
        <w:right w:val="none" w:sz="0" w:space="0" w:color="auto"/>
      </w:divBdr>
    </w:div>
    <w:div w:id="1921674016">
      <w:bodyDiv w:val="1"/>
      <w:marLeft w:val="0"/>
      <w:marRight w:val="0"/>
      <w:marTop w:val="0"/>
      <w:marBottom w:val="0"/>
      <w:divBdr>
        <w:top w:val="none" w:sz="0" w:space="0" w:color="auto"/>
        <w:left w:val="none" w:sz="0" w:space="0" w:color="auto"/>
        <w:bottom w:val="none" w:sz="0" w:space="0" w:color="auto"/>
        <w:right w:val="none" w:sz="0" w:space="0" w:color="auto"/>
      </w:divBdr>
    </w:div>
    <w:div w:id="1932351831">
      <w:bodyDiv w:val="1"/>
      <w:marLeft w:val="0"/>
      <w:marRight w:val="0"/>
      <w:marTop w:val="0"/>
      <w:marBottom w:val="0"/>
      <w:divBdr>
        <w:top w:val="none" w:sz="0" w:space="0" w:color="auto"/>
        <w:left w:val="none" w:sz="0" w:space="0" w:color="auto"/>
        <w:bottom w:val="none" w:sz="0" w:space="0" w:color="auto"/>
        <w:right w:val="none" w:sz="0" w:space="0" w:color="auto"/>
      </w:divBdr>
    </w:div>
    <w:div w:id="1939603579">
      <w:bodyDiv w:val="1"/>
      <w:marLeft w:val="0"/>
      <w:marRight w:val="0"/>
      <w:marTop w:val="0"/>
      <w:marBottom w:val="0"/>
      <w:divBdr>
        <w:top w:val="none" w:sz="0" w:space="0" w:color="auto"/>
        <w:left w:val="none" w:sz="0" w:space="0" w:color="auto"/>
        <w:bottom w:val="none" w:sz="0" w:space="0" w:color="auto"/>
        <w:right w:val="none" w:sz="0" w:space="0" w:color="auto"/>
      </w:divBdr>
    </w:div>
    <w:div w:id="1950039595">
      <w:bodyDiv w:val="1"/>
      <w:marLeft w:val="0"/>
      <w:marRight w:val="0"/>
      <w:marTop w:val="0"/>
      <w:marBottom w:val="0"/>
      <w:divBdr>
        <w:top w:val="none" w:sz="0" w:space="0" w:color="auto"/>
        <w:left w:val="none" w:sz="0" w:space="0" w:color="auto"/>
        <w:bottom w:val="none" w:sz="0" w:space="0" w:color="auto"/>
        <w:right w:val="none" w:sz="0" w:space="0" w:color="auto"/>
      </w:divBdr>
    </w:div>
    <w:div w:id="2052460209">
      <w:bodyDiv w:val="1"/>
      <w:marLeft w:val="0"/>
      <w:marRight w:val="0"/>
      <w:marTop w:val="0"/>
      <w:marBottom w:val="0"/>
      <w:divBdr>
        <w:top w:val="none" w:sz="0" w:space="0" w:color="auto"/>
        <w:left w:val="none" w:sz="0" w:space="0" w:color="auto"/>
        <w:bottom w:val="none" w:sz="0" w:space="0" w:color="auto"/>
        <w:right w:val="none" w:sz="0" w:space="0" w:color="auto"/>
      </w:divBdr>
    </w:div>
    <w:div w:id="2097507235">
      <w:bodyDiv w:val="1"/>
      <w:marLeft w:val="0"/>
      <w:marRight w:val="0"/>
      <w:marTop w:val="0"/>
      <w:marBottom w:val="0"/>
      <w:divBdr>
        <w:top w:val="none" w:sz="0" w:space="0" w:color="auto"/>
        <w:left w:val="none" w:sz="0" w:space="0" w:color="auto"/>
        <w:bottom w:val="none" w:sz="0" w:space="0" w:color="auto"/>
        <w:right w:val="none" w:sz="0" w:space="0" w:color="auto"/>
      </w:divBdr>
    </w:div>
    <w:div w:id="2119447503">
      <w:bodyDiv w:val="1"/>
      <w:marLeft w:val="0"/>
      <w:marRight w:val="0"/>
      <w:marTop w:val="0"/>
      <w:marBottom w:val="0"/>
      <w:divBdr>
        <w:top w:val="none" w:sz="0" w:space="0" w:color="auto"/>
        <w:left w:val="none" w:sz="0" w:space="0" w:color="auto"/>
        <w:bottom w:val="none" w:sz="0" w:space="0" w:color="auto"/>
        <w:right w:val="none" w:sz="0" w:space="0" w:color="auto"/>
      </w:divBdr>
    </w:div>
    <w:div w:id="2135714154">
      <w:bodyDiv w:val="1"/>
      <w:marLeft w:val="0"/>
      <w:marRight w:val="0"/>
      <w:marTop w:val="0"/>
      <w:marBottom w:val="0"/>
      <w:divBdr>
        <w:top w:val="none" w:sz="0" w:space="0" w:color="auto"/>
        <w:left w:val="none" w:sz="0" w:space="0" w:color="auto"/>
        <w:bottom w:val="none" w:sz="0" w:space="0" w:color="auto"/>
        <w:right w:val="none" w:sz="0" w:space="0" w:color="auto"/>
      </w:divBdr>
      <w:divsChild>
        <w:div w:id="786196841">
          <w:marLeft w:val="0"/>
          <w:marRight w:val="0"/>
          <w:marTop w:val="0"/>
          <w:marBottom w:val="0"/>
          <w:divBdr>
            <w:top w:val="none" w:sz="0" w:space="0" w:color="auto"/>
            <w:left w:val="none" w:sz="0" w:space="0" w:color="auto"/>
            <w:bottom w:val="none" w:sz="0" w:space="0" w:color="auto"/>
            <w:right w:val="none" w:sz="0" w:space="0" w:color="auto"/>
          </w:divBdr>
          <w:divsChild>
            <w:div w:id="13730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261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766</TotalTime>
  <Pages>40</Pages>
  <Words>52961</Words>
  <Characters>301879</Characters>
  <Application>Microsoft Office Word</Application>
  <DocSecurity>0</DocSecurity>
  <Lines>2515</Lines>
  <Paragraphs>708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Park</dc:creator>
  <cp:keywords/>
  <dc:description/>
  <cp:lastModifiedBy>Richard Park</cp:lastModifiedBy>
  <cp:revision>688</cp:revision>
  <dcterms:created xsi:type="dcterms:W3CDTF">2021-02-17T04:21:00Z</dcterms:created>
  <dcterms:modified xsi:type="dcterms:W3CDTF">2021-04-12T21:43:00Z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zotero-version="5.0.95"&gt;&lt;session id="lbE5iI2E"/&gt;&lt;style id="http://www.zotero.org/styles/council-of-science-editors-author-date" hasBibliography="1" bibliographyStyleHasBeenSet="1"/&gt;&lt;prefs&gt;&lt;pref name="fieldType" value="Field"/&gt;&lt;pref </vt:lpwstr>
  </property>
  <property fmtid="{D5CDD505-2E9C-101B-9397-08002B2CF9AE}" pid="3" name="ZOTERO_PREF_2">
    <vt:lpwstr>name="automaticJournalAbbreviations" value="true"/&gt;&lt;/prefs&gt;&lt;/data&gt;</vt:lpwstr>
  </property>
</Properties>
</file>