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B92F6" w14:textId="77777777" w:rsidR="00841B7F" w:rsidRDefault="00841B7F" w:rsidP="00841B7F">
      <w:pPr>
        <w:jc w:val="center"/>
        <w:rPr>
          <w:rFonts w:ascii="Arial" w:eastAsia="Times New Roman" w:hAnsi="Arial" w:cs="Arial"/>
          <w:sz w:val="46"/>
          <w:szCs w:val="46"/>
        </w:rPr>
      </w:pPr>
    </w:p>
    <w:p w14:paraId="0F3A8A22" w14:textId="77777777" w:rsidR="00841B7F" w:rsidRDefault="00841B7F" w:rsidP="00841B7F">
      <w:pPr>
        <w:jc w:val="center"/>
        <w:rPr>
          <w:rFonts w:ascii="Arial" w:eastAsia="Times New Roman" w:hAnsi="Arial" w:cs="Arial"/>
          <w:b/>
          <w:bCs/>
          <w:sz w:val="46"/>
          <w:szCs w:val="46"/>
        </w:rPr>
      </w:pPr>
      <w:r w:rsidRPr="00841B7F">
        <w:rPr>
          <w:rFonts w:ascii="Arial" w:eastAsia="Times New Roman" w:hAnsi="Arial" w:cs="Arial"/>
          <w:b/>
          <w:bCs/>
          <w:sz w:val="46"/>
          <w:szCs w:val="46"/>
        </w:rPr>
        <w:t xml:space="preserve">Estimating the Effect of Medicaid </w:t>
      </w:r>
    </w:p>
    <w:p w14:paraId="39471C8C" w14:textId="77777777" w:rsidR="00841B7F" w:rsidRDefault="00841B7F" w:rsidP="00841B7F">
      <w:pPr>
        <w:jc w:val="center"/>
        <w:rPr>
          <w:rFonts w:ascii="Arial" w:eastAsia="Times New Roman" w:hAnsi="Arial" w:cs="Arial"/>
          <w:b/>
          <w:bCs/>
          <w:sz w:val="46"/>
          <w:szCs w:val="46"/>
        </w:rPr>
      </w:pPr>
    </w:p>
    <w:p w14:paraId="2392496B" w14:textId="781F0424" w:rsidR="00841B7F" w:rsidRPr="00841B7F" w:rsidRDefault="00841B7F" w:rsidP="00841B7F">
      <w:pPr>
        <w:jc w:val="center"/>
        <w:rPr>
          <w:rFonts w:ascii="Arial" w:eastAsia="Times New Roman" w:hAnsi="Arial" w:cs="Arial"/>
          <w:b/>
          <w:bCs/>
          <w:sz w:val="46"/>
          <w:szCs w:val="46"/>
        </w:rPr>
      </w:pPr>
      <w:r w:rsidRPr="00841B7F">
        <w:rPr>
          <w:rFonts w:ascii="Arial" w:eastAsia="Times New Roman" w:hAnsi="Arial" w:cs="Arial"/>
          <w:b/>
          <w:bCs/>
          <w:sz w:val="46"/>
          <w:szCs w:val="46"/>
        </w:rPr>
        <w:t>Expansion</w:t>
      </w:r>
      <w:r>
        <w:rPr>
          <w:rFonts w:ascii="Arial" w:eastAsia="Times New Roman" w:hAnsi="Arial" w:cs="Arial"/>
          <w:b/>
          <w:bCs/>
          <w:sz w:val="46"/>
          <w:szCs w:val="46"/>
        </w:rPr>
        <w:t xml:space="preserve"> </w:t>
      </w:r>
      <w:r w:rsidRPr="00841B7F">
        <w:rPr>
          <w:rFonts w:ascii="Arial" w:eastAsia="Times New Roman" w:hAnsi="Arial" w:cs="Arial"/>
          <w:b/>
          <w:bCs/>
          <w:sz w:val="46"/>
          <w:szCs w:val="46"/>
        </w:rPr>
        <w:t>on the Opioid Crisis</w:t>
      </w:r>
    </w:p>
    <w:p w14:paraId="796F7652" w14:textId="77777777" w:rsidR="00841B7F" w:rsidRPr="00841B7F" w:rsidRDefault="00841B7F" w:rsidP="00841B7F">
      <w:pPr>
        <w:jc w:val="center"/>
        <w:rPr>
          <w:rFonts w:ascii="Arial" w:eastAsia="Times New Roman" w:hAnsi="Arial" w:cs="Arial"/>
          <w:sz w:val="46"/>
          <w:szCs w:val="46"/>
        </w:rPr>
      </w:pPr>
    </w:p>
    <w:p w14:paraId="2B65BB3A" w14:textId="77777777" w:rsidR="00841B7F" w:rsidRPr="00841B7F" w:rsidRDefault="00841B7F" w:rsidP="00841B7F">
      <w:pPr>
        <w:jc w:val="center"/>
        <w:rPr>
          <w:rFonts w:ascii="Arial" w:eastAsia="Times New Roman" w:hAnsi="Arial" w:cs="Arial"/>
          <w:sz w:val="46"/>
          <w:szCs w:val="46"/>
        </w:rPr>
      </w:pPr>
    </w:p>
    <w:p w14:paraId="3E1745B2" w14:textId="58EEDEC0" w:rsidR="00841B7F" w:rsidRDefault="00841B7F" w:rsidP="00841B7F">
      <w:pPr>
        <w:jc w:val="center"/>
        <w:rPr>
          <w:rFonts w:ascii="Arial" w:eastAsia="Times New Roman" w:hAnsi="Arial" w:cs="Arial"/>
          <w:sz w:val="32"/>
          <w:szCs w:val="32"/>
        </w:rPr>
      </w:pPr>
      <w:r w:rsidRPr="00841B7F">
        <w:rPr>
          <w:rFonts w:ascii="Arial" w:eastAsia="Times New Roman" w:hAnsi="Arial" w:cs="Arial"/>
          <w:sz w:val="32"/>
          <w:szCs w:val="32"/>
        </w:rPr>
        <w:t>Marcus Ferrara</w:t>
      </w:r>
    </w:p>
    <w:p w14:paraId="5EE44763" w14:textId="77777777" w:rsidR="00841B7F" w:rsidRPr="00841B7F" w:rsidRDefault="00841B7F" w:rsidP="00841B7F">
      <w:pPr>
        <w:jc w:val="center"/>
        <w:rPr>
          <w:rFonts w:ascii="Arial" w:eastAsia="Times New Roman" w:hAnsi="Arial" w:cs="Arial"/>
          <w:sz w:val="32"/>
          <w:szCs w:val="32"/>
        </w:rPr>
      </w:pPr>
    </w:p>
    <w:p w14:paraId="1DD99482" w14:textId="5784B048" w:rsidR="00841B7F" w:rsidRPr="00841B7F" w:rsidRDefault="00841B7F" w:rsidP="00841B7F">
      <w:pPr>
        <w:jc w:val="center"/>
        <w:rPr>
          <w:rFonts w:ascii="Courier New" w:eastAsia="Times New Roman" w:hAnsi="Courier New" w:cs="Courier New"/>
          <w:sz w:val="22"/>
          <w:szCs w:val="22"/>
        </w:rPr>
      </w:pPr>
    </w:p>
    <w:p w14:paraId="186B9918" w14:textId="1F8423A8" w:rsidR="00841B7F" w:rsidRPr="00841B7F" w:rsidRDefault="00841B7F" w:rsidP="00841B7F">
      <w:pPr>
        <w:jc w:val="center"/>
        <w:rPr>
          <w:rFonts w:ascii="Courier New" w:eastAsia="Times New Roman" w:hAnsi="Courier New" w:cs="Courier New"/>
          <w:sz w:val="22"/>
          <w:szCs w:val="22"/>
        </w:rPr>
      </w:pPr>
    </w:p>
    <w:p w14:paraId="595C0423" w14:textId="77777777" w:rsidR="00841B7F" w:rsidRPr="00841B7F" w:rsidRDefault="00841B7F" w:rsidP="00841B7F">
      <w:pPr>
        <w:jc w:val="center"/>
        <w:rPr>
          <w:rFonts w:ascii="Arial" w:eastAsia="Times New Roman" w:hAnsi="Arial" w:cs="Arial"/>
          <w:sz w:val="32"/>
          <w:szCs w:val="32"/>
        </w:rPr>
      </w:pPr>
      <w:r w:rsidRPr="00841B7F">
        <w:rPr>
          <w:rFonts w:ascii="Arial" w:eastAsia="Times New Roman" w:hAnsi="Arial" w:cs="Arial"/>
          <w:sz w:val="32"/>
          <w:szCs w:val="32"/>
        </w:rPr>
        <w:t>Undergraduate Honors Thesis</w:t>
      </w:r>
    </w:p>
    <w:p w14:paraId="33F69B14" w14:textId="77777777" w:rsidR="00841B7F" w:rsidRPr="00841B7F" w:rsidRDefault="00841B7F" w:rsidP="00841B7F">
      <w:pPr>
        <w:jc w:val="center"/>
        <w:rPr>
          <w:rFonts w:ascii="Arial" w:eastAsia="Times New Roman" w:hAnsi="Arial" w:cs="Arial"/>
          <w:sz w:val="32"/>
          <w:szCs w:val="32"/>
        </w:rPr>
      </w:pPr>
    </w:p>
    <w:p w14:paraId="3F2306B5" w14:textId="05955507" w:rsidR="00841B7F" w:rsidRPr="00841B7F" w:rsidRDefault="00841B7F" w:rsidP="00841B7F">
      <w:pPr>
        <w:jc w:val="center"/>
        <w:rPr>
          <w:rFonts w:ascii="Arial" w:eastAsia="Times New Roman" w:hAnsi="Arial" w:cs="Arial"/>
          <w:i/>
          <w:iCs/>
          <w:sz w:val="32"/>
          <w:szCs w:val="32"/>
        </w:rPr>
      </w:pPr>
      <w:r w:rsidRPr="00841B7F">
        <w:rPr>
          <w:rFonts w:ascii="Arial" w:eastAsia="Times New Roman" w:hAnsi="Arial" w:cs="Arial"/>
          <w:i/>
          <w:iCs/>
          <w:sz w:val="32"/>
          <w:szCs w:val="32"/>
        </w:rPr>
        <w:t>Department of Economics</w:t>
      </w:r>
    </w:p>
    <w:p w14:paraId="4CEB99AD" w14:textId="77777777" w:rsidR="00841B7F" w:rsidRPr="00841B7F" w:rsidRDefault="00841B7F" w:rsidP="00841B7F">
      <w:pPr>
        <w:jc w:val="center"/>
        <w:rPr>
          <w:rFonts w:ascii="Arial" w:eastAsia="Times New Roman" w:hAnsi="Arial" w:cs="Arial"/>
          <w:sz w:val="32"/>
          <w:szCs w:val="32"/>
        </w:rPr>
      </w:pPr>
    </w:p>
    <w:p w14:paraId="3DC53288" w14:textId="357D2184" w:rsidR="00841B7F" w:rsidRPr="00841B7F" w:rsidRDefault="00841B7F" w:rsidP="00841B7F">
      <w:pPr>
        <w:jc w:val="center"/>
        <w:rPr>
          <w:rFonts w:ascii="Arial" w:eastAsia="Times New Roman" w:hAnsi="Arial" w:cs="Arial"/>
          <w:sz w:val="32"/>
          <w:szCs w:val="32"/>
        </w:rPr>
      </w:pPr>
      <w:r w:rsidRPr="00841B7F">
        <w:rPr>
          <w:rFonts w:ascii="Arial" w:eastAsia="Times New Roman" w:hAnsi="Arial" w:cs="Arial"/>
          <w:sz w:val="32"/>
          <w:szCs w:val="32"/>
        </w:rPr>
        <w:t xml:space="preserve">University of Colorado Boulder </w:t>
      </w:r>
    </w:p>
    <w:p w14:paraId="1C7B94D4" w14:textId="77777777" w:rsidR="00841B7F" w:rsidRPr="00841B7F" w:rsidRDefault="00841B7F" w:rsidP="00841B7F">
      <w:pPr>
        <w:jc w:val="center"/>
        <w:rPr>
          <w:rFonts w:ascii="Arial" w:eastAsia="Times New Roman" w:hAnsi="Arial" w:cs="Arial"/>
          <w:sz w:val="32"/>
          <w:szCs w:val="32"/>
        </w:rPr>
      </w:pPr>
    </w:p>
    <w:p w14:paraId="51307102" w14:textId="58F86E02" w:rsidR="00841B7F" w:rsidRPr="00841B7F" w:rsidRDefault="00841B7F" w:rsidP="00841B7F">
      <w:pPr>
        <w:jc w:val="center"/>
        <w:rPr>
          <w:rFonts w:ascii="Arial" w:eastAsia="Times New Roman" w:hAnsi="Arial" w:cs="Arial"/>
          <w:sz w:val="32"/>
          <w:szCs w:val="32"/>
        </w:rPr>
      </w:pPr>
      <w:r w:rsidRPr="00841B7F">
        <w:rPr>
          <w:rFonts w:ascii="Arial" w:eastAsia="Times New Roman" w:hAnsi="Arial" w:cs="Arial"/>
          <w:sz w:val="32"/>
          <w:szCs w:val="32"/>
        </w:rPr>
        <w:t>Defended April 7</w:t>
      </w:r>
      <w:r w:rsidR="00883725">
        <w:rPr>
          <w:rFonts w:ascii="Arial" w:eastAsia="Times New Roman" w:hAnsi="Arial" w:cs="Arial"/>
          <w:sz w:val="32"/>
          <w:szCs w:val="32"/>
        </w:rPr>
        <w:t>th</w:t>
      </w:r>
      <w:r w:rsidRPr="00841B7F">
        <w:rPr>
          <w:rFonts w:ascii="Arial" w:eastAsia="Times New Roman" w:hAnsi="Arial" w:cs="Arial"/>
          <w:sz w:val="32"/>
          <w:szCs w:val="32"/>
        </w:rPr>
        <w:t>, 2020</w:t>
      </w:r>
    </w:p>
    <w:p w14:paraId="60444861" w14:textId="3699A59A" w:rsidR="00841B7F" w:rsidRPr="00841B7F" w:rsidRDefault="00841B7F" w:rsidP="00841B7F">
      <w:pPr>
        <w:jc w:val="center"/>
        <w:rPr>
          <w:rFonts w:ascii="Arial" w:eastAsia="Times New Roman" w:hAnsi="Arial" w:cs="Arial"/>
          <w:sz w:val="32"/>
          <w:szCs w:val="32"/>
        </w:rPr>
      </w:pPr>
    </w:p>
    <w:p w14:paraId="3F72E228" w14:textId="355AF0DF" w:rsidR="00841B7F" w:rsidRPr="00841B7F" w:rsidRDefault="00841B7F" w:rsidP="00841B7F">
      <w:pPr>
        <w:jc w:val="center"/>
        <w:rPr>
          <w:rFonts w:ascii="Arial" w:eastAsia="Times New Roman" w:hAnsi="Arial" w:cs="Arial"/>
          <w:sz w:val="32"/>
          <w:szCs w:val="32"/>
        </w:rPr>
      </w:pPr>
    </w:p>
    <w:p w14:paraId="7CD77AC4" w14:textId="77777777" w:rsidR="00841B7F" w:rsidRPr="00841B7F" w:rsidRDefault="00841B7F" w:rsidP="00841B7F">
      <w:pPr>
        <w:jc w:val="center"/>
        <w:rPr>
          <w:rFonts w:ascii="Arial" w:eastAsia="Times New Roman" w:hAnsi="Arial" w:cs="Arial"/>
          <w:sz w:val="32"/>
          <w:szCs w:val="32"/>
        </w:rPr>
      </w:pPr>
    </w:p>
    <w:p w14:paraId="1D0015CE" w14:textId="27514299" w:rsidR="00841B7F" w:rsidRPr="00841B7F" w:rsidRDefault="00841B7F" w:rsidP="00841B7F">
      <w:pPr>
        <w:spacing w:line="360" w:lineRule="auto"/>
        <w:jc w:val="center"/>
        <w:rPr>
          <w:rFonts w:ascii="Arial" w:eastAsia="Times New Roman" w:hAnsi="Arial" w:cs="Arial"/>
          <w:b/>
          <w:bCs/>
          <w:sz w:val="25"/>
          <w:szCs w:val="25"/>
        </w:rPr>
      </w:pPr>
      <w:r w:rsidRPr="00841B7F">
        <w:rPr>
          <w:rFonts w:ascii="Arial" w:eastAsia="Times New Roman" w:hAnsi="Arial" w:cs="Arial"/>
          <w:b/>
          <w:bCs/>
          <w:sz w:val="25"/>
          <w:szCs w:val="25"/>
        </w:rPr>
        <w:t>Primary Advisor:</w:t>
      </w:r>
    </w:p>
    <w:p w14:paraId="35C37F2C" w14:textId="7867C29E" w:rsidR="00841B7F" w:rsidRPr="00841B7F" w:rsidRDefault="00841B7F" w:rsidP="00841B7F">
      <w:pPr>
        <w:spacing w:line="360" w:lineRule="auto"/>
        <w:jc w:val="center"/>
        <w:rPr>
          <w:rFonts w:ascii="Arial" w:eastAsia="Times New Roman" w:hAnsi="Arial" w:cs="Arial"/>
          <w:sz w:val="25"/>
          <w:szCs w:val="25"/>
        </w:rPr>
      </w:pPr>
      <w:r w:rsidRPr="00841B7F">
        <w:rPr>
          <w:rFonts w:ascii="Arial" w:eastAsia="Times New Roman" w:hAnsi="Arial" w:cs="Arial"/>
          <w:sz w:val="25"/>
          <w:szCs w:val="25"/>
        </w:rPr>
        <w:t>Shuang Zhang</w:t>
      </w:r>
    </w:p>
    <w:p w14:paraId="27F29DAB" w14:textId="6B4F4559" w:rsidR="00841B7F" w:rsidRPr="00841B7F" w:rsidRDefault="00841B7F" w:rsidP="00841B7F">
      <w:pPr>
        <w:spacing w:line="360" w:lineRule="auto"/>
        <w:jc w:val="center"/>
        <w:rPr>
          <w:rFonts w:ascii="Arial" w:eastAsia="Times New Roman" w:hAnsi="Arial" w:cs="Arial"/>
          <w:i/>
          <w:iCs/>
          <w:sz w:val="25"/>
          <w:szCs w:val="25"/>
        </w:rPr>
      </w:pPr>
      <w:r w:rsidRPr="00841B7F">
        <w:rPr>
          <w:rFonts w:ascii="Arial" w:eastAsia="Times New Roman" w:hAnsi="Arial" w:cs="Arial"/>
          <w:i/>
          <w:iCs/>
          <w:sz w:val="25"/>
          <w:szCs w:val="25"/>
        </w:rPr>
        <w:t>Department of Economics</w:t>
      </w:r>
    </w:p>
    <w:p w14:paraId="5B2469DB" w14:textId="77777777" w:rsidR="00841B7F" w:rsidRPr="00841B7F" w:rsidRDefault="00841B7F" w:rsidP="00841B7F">
      <w:pPr>
        <w:spacing w:line="360" w:lineRule="auto"/>
        <w:jc w:val="center"/>
        <w:rPr>
          <w:rFonts w:ascii="Arial" w:eastAsia="Times New Roman" w:hAnsi="Arial" w:cs="Arial"/>
          <w:sz w:val="25"/>
          <w:szCs w:val="25"/>
        </w:rPr>
      </w:pPr>
    </w:p>
    <w:p w14:paraId="21976511" w14:textId="77777777" w:rsidR="00841B7F" w:rsidRPr="00841B7F" w:rsidRDefault="00841B7F" w:rsidP="00841B7F">
      <w:pPr>
        <w:spacing w:line="360" w:lineRule="auto"/>
        <w:jc w:val="center"/>
        <w:rPr>
          <w:rFonts w:ascii="Arial" w:eastAsia="Times New Roman" w:hAnsi="Arial" w:cs="Arial"/>
          <w:b/>
          <w:bCs/>
          <w:sz w:val="25"/>
          <w:szCs w:val="25"/>
        </w:rPr>
      </w:pPr>
      <w:r w:rsidRPr="00841B7F">
        <w:rPr>
          <w:rFonts w:ascii="Arial" w:eastAsia="Times New Roman" w:hAnsi="Arial" w:cs="Arial"/>
          <w:b/>
          <w:bCs/>
          <w:sz w:val="25"/>
          <w:szCs w:val="25"/>
        </w:rPr>
        <w:t>Committee Members:</w:t>
      </w:r>
    </w:p>
    <w:p w14:paraId="480CFCA4" w14:textId="021271E3" w:rsidR="00841B7F" w:rsidRPr="00841B7F" w:rsidRDefault="00841B7F" w:rsidP="00841B7F">
      <w:pPr>
        <w:spacing w:line="360" w:lineRule="auto"/>
        <w:jc w:val="center"/>
        <w:rPr>
          <w:rFonts w:ascii="Arial" w:eastAsia="Times New Roman" w:hAnsi="Arial" w:cs="Arial"/>
          <w:sz w:val="25"/>
          <w:szCs w:val="25"/>
        </w:rPr>
      </w:pPr>
      <w:r w:rsidRPr="00841B7F">
        <w:rPr>
          <w:rFonts w:ascii="Arial" w:eastAsia="Times New Roman" w:hAnsi="Arial" w:cs="Arial"/>
          <w:sz w:val="25"/>
          <w:szCs w:val="25"/>
        </w:rPr>
        <w:t>Brian Cadena</w:t>
      </w:r>
    </w:p>
    <w:p w14:paraId="3544F3A6" w14:textId="77777777" w:rsidR="00841B7F" w:rsidRPr="00841B7F" w:rsidRDefault="00841B7F" w:rsidP="00841B7F">
      <w:pPr>
        <w:spacing w:line="360" w:lineRule="auto"/>
        <w:jc w:val="center"/>
        <w:rPr>
          <w:rFonts w:ascii="Arial" w:eastAsia="Times New Roman" w:hAnsi="Arial" w:cs="Arial"/>
          <w:i/>
          <w:iCs/>
          <w:sz w:val="25"/>
          <w:szCs w:val="25"/>
        </w:rPr>
      </w:pPr>
      <w:r w:rsidRPr="00841B7F">
        <w:rPr>
          <w:rFonts w:ascii="Arial" w:eastAsia="Times New Roman" w:hAnsi="Arial" w:cs="Arial"/>
          <w:i/>
          <w:iCs/>
          <w:sz w:val="25"/>
          <w:szCs w:val="25"/>
        </w:rPr>
        <w:t>Department of Economics</w:t>
      </w:r>
    </w:p>
    <w:p w14:paraId="3143F981" w14:textId="0BC22FD4" w:rsidR="00841B7F" w:rsidRPr="00841B7F" w:rsidRDefault="00841B7F" w:rsidP="00841B7F">
      <w:pPr>
        <w:spacing w:line="360" w:lineRule="auto"/>
        <w:jc w:val="center"/>
        <w:rPr>
          <w:rFonts w:ascii="Arial" w:eastAsia="Times New Roman" w:hAnsi="Arial" w:cs="Arial"/>
          <w:sz w:val="25"/>
          <w:szCs w:val="25"/>
        </w:rPr>
      </w:pPr>
      <w:r w:rsidRPr="00841B7F">
        <w:rPr>
          <w:rFonts w:ascii="Arial" w:eastAsia="Times New Roman" w:hAnsi="Arial" w:cs="Arial"/>
          <w:sz w:val="25"/>
          <w:szCs w:val="25"/>
        </w:rPr>
        <w:t>Jason Boardman</w:t>
      </w:r>
    </w:p>
    <w:p w14:paraId="17C7874F" w14:textId="627D655C" w:rsidR="00841B7F" w:rsidRPr="00841B7F" w:rsidRDefault="00841B7F" w:rsidP="00841B7F">
      <w:pPr>
        <w:spacing w:line="360" w:lineRule="auto"/>
        <w:jc w:val="center"/>
        <w:rPr>
          <w:rFonts w:ascii="Arial" w:eastAsia="Times New Roman" w:hAnsi="Arial" w:cs="Arial"/>
          <w:i/>
          <w:iCs/>
          <w:sz w:val="25"/>
          <w:szCs w:val="25"/>
        </w:rPr>
      </w:pPr>
      <w:r w:rsidRPr="00841B7F">
        <w:rPr>
          <w:rFonts w:ascii="Arial" w:eastAsia="Times New Roman" w:hAnsi="Arial" w:cs="Arial"/>
          <w:i/>
          <w:iCs/>
          <w:sz w:val="25"/>
          <w:szCs w:val="25"/>
        </w:rPr>
        <w:t>Department of Sociology</w:t>
      </w:r>
    </w:p>
    <w:p w14:paraId="2D3AB666" w14:textId="3255C2D8" w:rsidR="00841B7F" w:rsidRDefault="00841B7F" w:rsidP="004711A7">
      <w:pPr>
        <w:spacing w:line="480" w:lineRule="auto"/>
      </w:pPr>
    </w:p>
    <w:p w14:paraId="2B5C4F2C" w14:textId="77777777" w:rsidR="00BC41EC" w:rsidRDefault="00BC41EC" w:rsidP="00BC41EC">
      <w:r>
        <w:br w:type="page"/>
      </w:r>
    </w:p>
    <w:p w14:paraId="7FF000EA" w14:textId="675A2FF2" w:rsidR="00D634CD" w:rsidRPr="00886921" w:rsidRDefault="00D634CD" w:rsidP="00D634CD">
      <w:pPr>
        <w:spacing w:line="480" w:lineRule="auto"/>
        <w:rPr>
          <w:sz w:val="36"/>
          <w:szCs w:val="36"/>
        </w:rPr>
      </w:pPr>
      <w:r w:rsidRPr="00886921">
        <w:rPr>
          <w:b/>
          <w:bCs/>
          <w:sz w:val="36"/>
          <w:szCs w:val="36"/>
        </w:rPr>
        <w:lastRenderedPageBreak/>
        <w:t>Abstract</w:t>
      </w:r>
    </w:p>
    <w:p w14:paraId="78D7A6A7" w14:textId="1C9FF62E" w:rsidR="009F6028" w:rsidRDefault="009F6028" w:rsidP="009F6028">
      <w:pPr>
        <w:spacing w:line="480" w:lineRule="auto"/>
        <w:jc w:val="both"/>
      </w:pPr>
      <w:r w:rsidRPr="009F6028">
        <w:t xml:space="preserve">The question I </w:t>
      </w:r>
      <w:r w:rsidR="00837F7B">
        <w:t>am</w:t>
      </w:r>
      <w:r w:rsidRPr="009F6028">
        <w:t xml:space="preserve"> examining in this paper is</w:t>
      </w:r>
      <w:r w:rsidR="00883725">
        <w:t>,</w:t>
      </w:r>
      <w:r w:rsidRPr="009F6028">
        <w:t xml:space="preserve"> “What is the effect of Medicaid Expansion on the opioid crisis”. Specifically, I am looking at whether increased access to prescription opioids as a result of expanded medical coverage has had a significant effect on opioid</w:t>
      </w:r>
      <w:r w:rsidR="00883725">
        <w:t>-</w:t>
      </w:r>
      <w:r w:rsidRPr="009F6028">
        <w:t>related emergency department visits. To answer this question, I used a difference-in-differences model, which highlight</w:t>
      </w:r>
      <w:r w:rsidR="00883725">
        <w:t>s</w:t>
      </w:r>
      <w:r w:rsidRPr="009F6028">
        <w:t xml:space="preserve"> whether Medicaid expansion led to a greater increase in opioid-related emergency department visits for States that expanded Medicaid compared to non-expansion States</w:t>
      </w:r>
      <w:r w:rsidR="00883725">
        <w:t>.</w:t>
      </w:r>
      <w:r w:rsidRPr="009F6028">
        <w:t xml:space="preserve"> </w:t>
      </w:r>
      <w:r w:rsidR="000F204A">
        <w:t xml:space="preserve">My analysis found </w:t>
      </w:r>
      <w:r w:rsidR="000F204A" w:rsidRPr="009F6028">
        <w:t>opioid-related emergency department visits increase</w:t>
      </w:r>
      <w:r w:rsidR="000F204A">
        <w:t>d</w:t>
      </w:r>
      <w:r w:rsidR="000F204A" w:rsidRPr="009F6028">
        <w:t xml:space="preserve"> significantly more in States that chose to expand Medicaid compared to </w:t>
      </w:r>
      <w:r w:rsidR="000F204A">
        <w:t xml:space="preserve">States that did not. </w:t>
      </w:r>
      <w:r w:rsidRPr="009F6028">
        <w:t>This suggests that the Medicaid expansion portion of the ACA has had a negative effect on combating the opioid crisis.</w:t>
      </w:r>
    </w:p>
    <w:p w14:paraId="24D384BB" w14:textId="6197BF64" w:rsidR="000F204A" w:rsidRDefault="000F204A" w:rsidP="009F6028">
      <w:pPr>
        <w:spacing w:line="480" w:lineRule="auto"/>
        <w:jc w:val="both"/>
      </w:pPr>
    </w:p>
    <w:p w14:paraId="09EE3BB2" w14:textId="77777777" w:rsidR="00D634CD" w:rsidRPr="00D634CD" w:rsidRDefault="00D634CD" w:rsidP="00D634CD">
      <w:pPr>
        <w:spacing w:line="480" w:lineRule="auto"/>
      </w:pPr>
    </w:p>
    <w:p w14:paraId="3EDAB4E3" w14:textId="77777777" w:rsidR="00D634CD" w:rsidRDefault="00D634CD">
      <w:pPr>
        <w:rPr>
          <w:b/>
          <w:bCs/>
          <w:sz w:val="32"/>
          <w:szCs w:val="32"/>
        </w:rPr>
      </w:pPr>
    </w:p>
    <w:p w14:paraId="385D9592" w14:textId="355FFF87" w:rsidR="00D634CD" w:rsidRDefault="00D634CD">
      <w:pPr>
        <w:rPr>
          <w:b/>
          <w:bCs/>
          <w:sz w:val="32"/>
          <w:szCs w:val="32"/>
        </w:rPr>
      </w:pPr>
      <w:r>
        <w:rPr>
          <w:b/>
          <w:bCs/>
          <w:sz w:val="32"/>
          <w:szCs w:val="32"/>
        </w:rPr>
        <w:br w:type="page"/>
      </w:r>
    </w:p>
    <w:p w14:paraId="49DE03D4" w14:textId="6A5ACC54" w:rsidR="00422A65" w:rsidRPr="00886921" w:rsidRDefault="00BC41EC" w:rsidP="00BC41EC">
      <w:pPr>
        <w:rPr>
          <w:b/>
          <w:bCs/>
          <w:sz w:val="36"/>
          <w:szCs w:val="36"/>
        </w:rPr>
      </w:pPr>
      <w:r w:rsidRPr="00886921">
        <w:rPr>
          <w:b/>
          <w:bCs/>
          <w:sz w:val="36"/>
          <w:szCs w:val="36"/>
        </w:rPr>
        <w:lastRenderedPageBreak/>
        <w:t xml:space="preserve">1    </w:t>
      </w:r>
      <w:r w:rsidR="00422A65" w:rsidRPr="00886921">
        <w:rPr>
          <w:b/>
          <w:bCs/>
          <w:sz w:val="36"/>
          <w:szCs w:val="36"/>
        </w:rPr>
        <w:t>INTRODUCTION</w:t>
      </w:r>
    </w:p>
    <w:p w14:paraId="72CA729F" w14:textId="77777777" w:rsidR="00BC41EC" w:rsidRPr="00BC41EC" w:rsidRDefault="00BC41EC" w:rsidP="00BC41EC"/>
    <w:p w14:paraId="0ADA21E1" w14:textId="655455DF" w:rsidR="00422A65" w:rsidRPr="00BD3206" w:rsidRDefault="00422A65" w:rsidP="009F6028">
      <w:pPr>
        <w:spacing w:line="480" w:lineRule="auto"/>
        <w:jc w:val="both"/>
        <w:rPr>
          <w:rFonts w:cs="Times New Roman"/>
        </w:rPr>
      </w:pPr>
      <w:r>
        <w:tab/>
      </w:r>
      <w:r w:rsidR="00773704" w:rsidRPr="00BD3206">
        <w:rPr>
          <w:rFonts w:cs="Times New Roman"/>
        </w:rPr>
        <w:t>Over the last two decades, overdose deaths in the United States have been steadily rising. Within the last 10 years, opioids have been the leading cause of overdoses by a large</w:t>
      </w:r>
      <w:r w:rsidR="00374808" w:rsidRPr="00BD3206">
        <w:rPr>
          <w:rFonts w:cs="Times New Roman"/>
        </w:rPr>
        <w:t xml:space="preserve"> </w:t>
      </w:r>
      <w:r w:rsidR="00773704" w:rsidRPr="00BD3206">
        <w:rPr>
          <w:rFonts w:cs="Times New Roman"/>
        </w:rPr>
        <w:t>margin</w:t>
      </w:r>
      <w:r w:rsidR="00304A82" w:rsidRPr="00BD3206">
        <w:rPr>
          <w:rFonts w:cs="Times New Roman"/>
        </w:rPr>
        <w:t>, with estimates suggesting that 130 Americans die each day from opioid overdoses.</w:t>
      </w:r>
      <w:r w:rsidR="00524C04" w:rsidRPr="00BD3206">
        <w:rPr>
          <w:rFonts w:cs="Times New Roman"/>
        </w:rPr>
        <w:t xml:space="preserve"> In fact, data from 2016 show</w:t>
      </w:r>
      <w:r w:rsidR="00883725">
        <w:rPr>
          <w:rFonts w:cs="Times New Roman"/>
        </w:rPr>
        <w:t xml:space="preserve"> </w:t>
      </w:r>
      <w:r w:rsidR="00524C04" w:rsidRPr="00BD3206">
        <w:rPr>
          <w:rFonts w:cs="Times New Roman"/>
        </w:rPr>
        <w:t xml:space="preserve">there were more opioid-related overdoses than all other drug overdoses </w:t>
      </w:r>
      <w:r w:rsidR="00444770" w:rsidRPr="00BD3206">
        <w:rPr>
          <w:rFonts w:cs="Times New Roman"/>
        </w:rPr>
        <w:t>combined (</w:t>
      </w:r>
      <w:r w:rsidR="00524C04" w:rsidRPr="00BD3206">
        <w:rPr>
          <w:rFonts w:cs="Times New Roman"/>
        </w:rPr>
        <w:t xml:space="preserve">National Institute on Drug Abuse). </w:t>
      </w:r>
      <w:r w:rsidR="00374808" w:rsidRPr="00BD3206">
        <w:rPr>
          <w:rFonts w:cs="Times New Roman"/>
        </w:rPr>
        <w:t xml:space="preserve"> The </w:t>
      </w:r>
      <w:r w:rsidR="00625144" w:rsidRPr="00BD3206">
        <w:rPr>
          <w:rFonts w:cs="Times New Roman"/>
        </w:rPr>
        <w:t>rise in opioid overdoses</w:t>
      </w:r>
      <w:r w:rsidR="00773B3E" w:rsidRPr="00BD3206">
        <w:rPr>
          <w:rFonts w:cs="Times New Roman"/>
        </w:rPr>
        <w:t xml:space="preserve"> </w:t>
      </w:r>
      <w:r w:rsidR="00625144" w:rsidRPr="00BD3206">
        <w:rPr>
          <w:rFonts w:cs="Times New Roman"/>
        </w:rPr>
        <w:t>coupled with high profile events such as the</w:t>
      </w:r>
      <w:r w:rsidR="00132F26" w:rsidRPr="00BD3206">
        <w:rPr>
          <w:rFonts w:cs="Times New Roman"/>
        </w:rPr>
        <w:t xml:space="preserve"> thousands of lawsuits against</w:t>
      </w:r>
      <w:r w:rsidR="00625144" w:rsidRPr="00BD3206">
        <w:rPr>
          <w:rFonts w:cs="Times New Roman"/>
        </w:rPr>
        <w:t xml:space="preserve"> Purdue Pharma</w:t>
      </w:r>
      <w:r w:rsidR="00132F26" w:rsidRPr="00BD3206">
        <w:rPr>
          <w:rFonts w:cs="Times New Roman"/>
        </w:rPr>
        <w:t>,</w:t>
      </w:r>
      <w:r w:rsidR="00794DF2" w:rsidRPr="00BD3206">
        <w:rPr>
          <w:rFonts w:cs="Times New Roman"/>
        </w:rPr>
        <w:t xml:space="preserve"> </w:t>
      </w:r>
      <w:r w:rsidR="00132F26" w:rsidRPr="00BD3206">
        <w:rPr>
          <w:rFonts w:cs="Times New Roman"/>
        </w:rPr>
        <w:t>the pharmaceutical company responsible for the creation of OxyContin,</w:t>
      </w:r>
      <w:r w:rsidR="00625144" w:rsidRPr="00BD3206">
        <w:rPr>
          <w:rFonts w:cs="Times New Roman"/>
        </w:rPr>
        <w:t xml:space="preserve"> have catapulted the </w:t>
      </w:r>
      <w:r w:rsidR="00773B3E" w:rsidRPr="00BD3206">
        <w:rPr>
          <w:rFonts w:cs="Times New Roman"/>
        </w:rPr>
        <w:t>“</w:t>
      </w:r>
      <w:r w:rsidR="00625144" w:rsidRPr="00BD3206">
        <w:rPr>
          <w:rFonts w:cs="Times New Roman"/>
        </w:rPr>
        <w:t xml:space="preserve">Opioid Crisis” into the forefront of </w:t>
      </w:r>
      <w:r w:rsidR="00773B3E" w:rsidRPr="00BD3206">
        <w:rPr>
          <w:rFonts w:cs="Times New Roman"/>
        </w:rPr>
        <w:t>national debate</w:t>
      </w:r>
      <w:r w:rsidR="003C3738" w:rsidRPr="00BD3206">
        <w:rPr>
          <w:rFonts w:cs="Times New Roman"/>
        </w:rPr>
        <w:t xml:space="preserve">. </w:t>
      </w:r>
    </w:p>
    <w:p w14:paraId="6F73AA30" w14:textId="1E9B56DE" w:rsidR="00851BE3" w:rsidRDefault="003C3738" w:rsidP="009F6028">
      <w:pPr>
        <w:spacing w:line="480" w:lineRule="auto"/>
        <w:jc w:val="both"/>
      </w:pPr>
      <w:r>
        <w:tab/>
      </w:r>
      <w:r w:rsidR="00252DF4">
        <w:t>This</w:t>
      </w:r>
      <w:r>
        <w:t xml:space="preserve"> paper</w:t>
      </w:r>
      <w:r w:rsidR="00252DF4">
        <w:t xml:space="preserve"> estimates</w:t>
      </w:r>
      <w:r>
        <w:t xml:space="preserve"> how </w:t>
      </w:r>
      <w:r w:rsidR="00252DF4">
        <w:t xml:space="preserve">Medicaid </w:t>
      </w:r>
      <w:r w:rsidR="001D72EE">
        <w:t>expansion has</w:t>
      </w:r>
      <w:r w:rsidR="00252DF4">
        <w:t xml:space="preserve"> affect</w:t>
      </w:r>
      <w:r w:rsidR="001D72EE">
        <w:t>ed the</w:t>
      </w:r>
      <w:r w:rsidR="008E7D7C">
        <w:t xml:space="preserve"> </w:t>
      </w:r>
      <w:r>
        <w:t xml:space="preserve">opioid </w:t>
      </w:r>
      <w:r w:rsidR="001D72EE">
        <w:t>crisis</w:t>
      </w:r>
      <w:r w:rsidR="00B2724A">
        <w:t>.</w:t>
      </w:r>
      <w:r>
        <w:t xml:space="preserve"> </w:t>
      </w:r>
      <w:r w:rsidR="003A0285">
        <w:t>Specifically</w:t>
      </w:r>
      <w:r w:rsidR="00B2724A">
        <w:t>,</w:t>
      </w:r>
      <w:r w:rsidR="003A0285">
        <w:t xml:space="preserve"> I examin</w:t>
      </w:r>
      <w:r w:rsidR="000F204A">
        <w:t>ed</w:t>
      </w:r>
      <w:r>
        <w:t xml:space="preserve"> </w:t>
      </w:r>
      <w:r w:rsidR="003A0285">
        <w:t>the effect of</w:t>
      </w:r>
      <w:r>
        <w:t xml:space="preserve"> Medicaid expansion in 2014, w</w:t>
      </w:r>
      <w:r w:rsidR="003A0285">
        <w:t xml:space="preserve">hen the ACA expanded Medicaid eligibility limits </w:t>
      </w:r>
      <w:r w:rsidR="00663E6A">
        <w:t>from 100%</w:t>
      </w:r>
      <w:r w:rsidR="003A0285">
        <w:t xml:space="preserve"> of the Federal Poverty </w:t>
      </w:r>
      <w:r w:rsidR="00663E6A">
        <w:t>L</w:t>
      </w:r>
      <w:r w:rsidR="003A0285">
        <w:t>ine</w:t>
      </w:r>
      <w:r w:rsidR="00663E6A">
        <w:t xml:space="preserve"> (FPL) to 138% of the FPL</w:t>
      </w:r>
      <w:r w:rsidR="002C24C0">
        <w:t xml:space="preserve">. </w:t>
      </w:r>
      <w:r w:rsidR="001D72EE">
        <w:t>This is an interesting comparison because not all States have expanded Medicaid, which allow</w:t>
      </w:r>
      <w:r w:rsidR="000F204A">
        <w:t>ed</w:t>
      </w:r>
      <w:r w:rsidR="001D72EE">
        <w:t xml:space="preserve"> for a natural treatment and control group for this study. </w:t>
      </w:r>
      <w:r w:rsidR="003A0285">
        <w:t xml:space="preserve">In 2012, the Supreme Court </w:t>
      </w:r>
      <w:r w:rsidR="00663E6A">
        <w:t xml:space="preserve">ruled that the </w:t>
      </w:r>
      <w:r w:rsidR="00163342">
        <w:t xml:space="preserve">required expansion of Medicaid for all States in the </w:t>
      </w:r>
      <w:r w:rsidR="00663E6A">
        <w:t>A</w:t>
      </w:r>
      <w:r w:rsidR="00163342">
        <w:t xml:space="preserve">ffordable </w:t>
      </w:r>
      <w:r w:rsidR="00663E6A">
        <w:t>C</w:t>
      </w:r>
      <w:r w:rsidR="00163342">
        <w:t xml:space="preserve">are </w:t>
      </w:r>
      <w:r w:rsidR="00663E6A">
        <w:t>A</w:t>
      </w:r>
      <w:r w:rsidR="00163342">
        <w:t>ct</w:t>
      </w:r>
      <w:r w:rsidR="00663E6A">
        <w:t xml:space="preserve"> was unconstitutionally coercive, which allowed States to decide whether or not they wanted to opt-in to the aforementioned expansion or opt-out.</w:t>
      </w:r>
      <w:r w:rsidR="00B366BD">
        <w:t xml:space="preserve"> This allow</w:t>
      </w:r>
      <w:r w:rsidR="00950CF2">
        <w:t xml:space="preserve">ed </w:t>
      </w:r>
      <w:r w:rsidR="00B366BD">
        <w:t>me to measure the impact of Medicaid expansion by comparing Medicaid expansion States to non-expansion States.</w:t>
      </w:r>
      <w:r w:rsidR="00663E6A">
        <w:t xml:space="preserve"> </w:t>
      </w:r>
      <w:r w:rsidR="00252DF4">
        <w:t xml:space="preserve">One reason </w:t>
      </w:r>
      <w:r w:rsidR="00163342">
        <w:t>opioid-related emergency department visits</w:t>
      </w:r>
      <w:r w:rsidR="00252DF4">
        <w:t xml:space="preserve"> may differ between</w:t>
      </w:r>
      <w:r w:rsidR="00794DF2">
        <w:t xml:space="preserve"> Medicaid expansion </w:t>
      </w:r>
      <w:r w:rsidR="00DB191D">
        <w:t xml:space="preserve">and non-expansion States </w:t>
      </w:r>
      <w:r w:rsidR="00252DF4">
        <w:t>is that Medicaid expansion States have</w:t>
      </w:r>
      <w:r w:rsidR="00DB191D">
        <w:t xml:space="preserve"> increased access to prescription opioids compared to non-expansion States.  </w:t>
      </w:r>
      <w:r w:rsidR="00851BE3">
        <w:t>I answer</w:t>
      </w:r>
      <w:r w:rsidR="001D72EE">
        <w:t>ed</w:t>
      </w:r>
      <w:r w:rsidR="00851BE3">
        <w:t xml:space="preserve"> this with a model that I believe is the first to provide quantitative estimates of the effect of </w:t>
      </w:r>
      <w:r w:rsidR="00252DF4">
        <w:t xml:space="preserve">Medicaid expansion </w:t>
      </w:r>
      <w:r w:rsidR="00851BE3">
        <w:t>on the opioid crisis</w:t>
      </w:r>
      <w:r w:rsidR="001D72EE">
        <w:t xml:space="preserve">, with results showing that </w:t>
      </w:r>
      <w:r w:rsidR="00BD3206">
        <w:lastRenderedPageBreak/>
        <w:t>opioid-related emergency department (ORED) visits increased more for States that chose to expand Medicaid than States that did not expand Medicaid.</w:t>
      </w:r>
    </w:p>
    <w:p w14:paraId="75CC4323" w14:textId="383882E3" w:rsidR="005A1330" w:rsidRDefault="00105A1C" w:rsidP="005A1330">
      <w:pPr>
        <w:spacing w:line="456" w:lineRule="auto"/>
        <w:ind w:firstLine="720"/>
        <w:jc w:val="both"/>
      </w:pPr>
      <w:r>
        <w:t>The model I us</w:t>
      </w:r>
      <w:r w:rsidR="00BD3206">
        <w:t>ed</w:t>
      </w:r>
      <w:r>
        <w:t xml:space="preserve"> to answer this question </w:t>
      </w:r>
      <w:r w:rsidR="00BD3206">
        <w:t>was</w:t>
      </w:r>
      <w:r>
        <w:t xml:space="preserve"> a difference</w:t>
      </w:r>
      <w:r w:rsidR="00837F7B">
        <w:t>-</w:t>
      </w:r>
      <w:r>
        <w:t>in</w:t>
      </w:r>
      <w:r w:rsidR="00837F7B">
        <w:t>-</w:t>
      </w:r>
      <w:r>
        <w:t xml:space="preserve">differences model. The difference </w:t>
      </w:r>
      <w:r w:rsidR="00837F7B">
        <w:t>-i</w:t>
      </w:r>
      <w:r>
        <w:t>n</w:t>
      </w:r>
      <w:r w:rsidR="00837F7B">
        <w:t>-</w:t>
      </w:r>
      <w:r>
        <w:t>differences model w</w:t>
      </w:r>
      <w:r w:rsidR="00BD3206">
        <w:t>as</w:t>
      </w:r>
      <w:r>
        <w:t xml:space="preserve"> used to estimate the effect of Medicaid expansion on opioid overdoses. To do this, I compar</w:t>
      </w:r>
      <w:r w:rsidR="00BD3206">
        <w:t>ed</w:t>
      </w:r>
      <w:r>
        <w:t xml:space="preserve"> overdoses in expansion v</w:t>
      </w:r>
      <w:r w:rsidR="00FF2FB0">
        <w:t>ersus</w:t>
      </w:r>
      <w:r>
        <w:t xml:space="preserve"> non-expansion States, both before and after Medicaid expansion took effect. First, I examine</w:t>
      </w:r>
      <w:r w:rsidR="00BD3206">
        <w:t>d</w:t>
      </w:r>
      <w:r>
        <w:t xml:space="preserve"> the change in overdoses in expansion States</w:t>
      </w:r>
      <w:r w:rsidR="00BD3206">
        <w:t xml:space="preserve"> and non-expansion States, both</w:t>
      </w:r>
      <w:r>
        <w:t xml:space="preserve"> before Medicaid expansion and after expansion. </w:t>
      </w:r>
      <w:r w:rsidR="00244E1C">
        <w:t>Then</w:t>
      </w:r>
      <w:r w:rsidR="00BD3206">
        <w:t>,</w:t>
      </w:r>
      <w:r w:rsidR="00244E1C">
        <w:t xml:space="preserve"> my key analysis w</w:t>
      </w:r>
      <w:r w:rsidR="00BD3206">
        <w:t>as</w:t>
      </w:r>
      <w:r w:rsidR="00244E1C">
        <w:t xml:space="preserve"> examining whether opioid overdoses increased more in expansion states vs</w:t>
      </w:r>
      <w:r w:rsidR="00837F7B">
        <w:t>.</w:t>
      </w:r>
      <w:r w:rsidR="00244E1C">
        <w:t xml:space="preserve"> non-expansion States.</w:t>
      </w:r>
      <w:r w:rsidR="0013438D">
        <w:t xml:space="preserve"> </w:t>
      </w:r>
      <w:r w:rsidR="0013438D" w:rsidRPr="00F76FAB">
        <w:rPr>
          <w:b/>
          <w:bCs/>
        </w:rPr>
        <w:t>Figure 1</w:t>
      </w:r>
      <w:r w:rsidR="0013438D">
        <w:t xml:space="preserve"> below illustrates this concept. Rows 1 and 2 in the difference column show the increase in opioid</w:t>
      </w:r>
      <w:r w:rsidR="00837F7B">
        <w:t>-</w:t>
      </w:r>
      <w:r w:rsidR="0013438D">
        <w:t xml:space="preserve">related emergency department visits per 100k (ORED) from before Medicaid expansion and after Medicaid expansion for States that chose to expand Medicaid and </w:t>
      </w:r>
      <w:r w:rsidR="00A76414">
        <w:t xml:space="preserve">for </w:t>
      </w:r>
      <w:r w:rsidR="0013438D">
        <w:t xml:space="preserve">States that did not expand Medicaid. States that expanded Medicaid saw their ORED increase by 113.9 after Medicaid </w:t>
      </w:r>
      <w:r w:rsidR="008E2E2A">
        <w:t>E</w:t>
      </w:r>
      <w:r w:rsidR="0013438D">
        <w:t xml:space="preserve">xpansion took effect. </w:t>
      </w:r>
      <w:r w:rsidR="008E2E2A">
        <w:t xml:space="preserve">States that did not expand Medicaid saw their ORED increase by 69.17 after Medicaid Expansion took effect. Thus, ORED increased by 44.19 more for Expansion States than for Non-Expansion States. </w:t>
      </w:r>
      <w:r w:rsidR="00A76414">
        <w:t>My regression examine</w:t>
      </w:r>
      <w:r w:rsidR="00950CF2">
        <w:t>d</w:t>
      </w:r>
      <w:r w:rsidR="00A76414">
        <w:t xml:space="preserve"> this relationship further by analyzing how much of this difference can be attributed to Medicaid Expansion and how other variables may have played a role in the differences observed.</w:t>
      </w:r>
    </w:p>
    <w:tbl>
      <w:tblPr>
        <w:tblStyle w:val="TableGrid"/>
        <w:tblW w:w="5026" w:type="pct"/>
        <w:tblLook w:val="04A0" w:firstRow="1" w:lastRow="0" w:firstColumn="1" w:lastColumn="0" w:noHBand="0" w:noVBand="1"/>
      </w:tblPr>
      <w:tblGrid>
        <w:gridCol w:w="2349"/>
        <w:gridCol w:w="2350"/>
        <w:gridCol w:w="2350"/>
        <w:gridCol w:w="2350"/>
      </w:tblGrid>
      <w:tr w:rsidR="005C5886" w:rsidRPr="005A1330" w14:paraId="61C36207" w14:textId="77777777" w:rsidTr="005A1330">
        <w:trPr>
          <w:trHeight w:val="455"/>
        </w:trPr>
        <w:tc>
          <w:tcPr>
            <w:tcW w:w="1250" w:type="pct"/>
            <w:shd w:val="clear" w:color="auto" w:fill="1F3864" w:themeFill="accent1" w:themeFillShade="80"/>
            <w:vAlign w:val="center"/>
          </w:tcPr>
          <w:p w14:paraId="67FBF698" w14:textId="77777777" w:rsidR="005C5886" w:rsidRPr="005A1330" w:rsidRDefault="005C5886" w:rsidP="005A1330">
            <w:pPr>
              <w:jc w:val="center"/>
              <w:rPr>
                <w:rFonts w:cs="Times New Roman (Body CS)"/>
                <w:b/>
                <w:color w:val="FFFFFF" w:themeColor="background1"/>
              </w:rPr>
            </w:pPr>
          </w:p>
        </w:tc>
        <w:tc>
          <w:tcPr>
            <w:tcW w:w="1250" w:type="pct"/>
            <w:shd w:val="clear" w:color="auto" w:fill="1F3864" w:themeFill="accent1" w:themeFillShade="80"/>
            <w:vAlign w:val="center"/>
          </w:tcPr>
          <w:p w14:paraId="4830061A" w14:textId="78D8F053" w:rsidR="005C5886" w:rsidRPr="005A1330" w:rsidRDefault="005C5886" w:rsidP="005A1330">
            <w:pPr>
              <w:jc w:val="center"/>
              <w:rPr>
                <w:rFonts w:cs="Times New Roman (Body CS)"/>
                <w:b/>
                <w:color w:val="FFFFFF" w:themeColor="background1"/>
              </w:rPr>
            </w:pPr>
            <w:r w:rsidRPr="005A1330">
              <w:rPr>
                <w:rFonts w:cs="Times New Roman (Body CS)"/>
                <w:b/>
                <w:color w:val="FFFFFF" w:themeColor="background1"/>
              </w:rPr>
              <w:t>2008-2013</w:t>
            </w:r>
          </w:p>
        </w:tc>
        <w:tc>
          <w:tcPr>
            <w:tcW w:w="1250" w:type="pct"/>
            <w:shd w:val="clear" w:color="auto" w:fill="1F3864" w:themeFill="accent1" w:themeFillShade="80"/>
            <w:vAlign w:val="center"/>
          </w:tcPr>
          <w:p w14:paraId="7566E7F6" w14:textId="38587CF9" w:rsidR="005C5886" w:rsidRPr="005A1330" w:rsidRDefault="005C5886" w:rsidP="005A1330">
            <w:pPr>
              <w:jc w:val="center"/>
              <w:rPr>
                <w:rFonts w:cs="Times New Roman (Body CS)"/>
                <w:b/>
                <w:color w:val="FFFFFF" w:themeColor="background1"/>
              </w:rPr>
            </w:pPr>
            <w:r w:rsidRPr="005A1330">
              <w:rPr>
                <w:rFonts w:cs="Times New Roman (Body CS)"/>
                <w:b/>
                <w:color w:val="FFFFFF" w:themeColor="background1"/>
              </w:rPr>
              <w:t>2014-2016</w:t>
            </w:r>
          </w:p>
        </w:tc>
        <w:tc>
          <w:tcPr>
            <w:tcW w:w="1250" w:type="pct"/>
            <w:shd w:val="clear" w:color="auto" w:fill="1F3864" w:themeFill="accent1" w:themeFillShade="80"/>
            <w:vAlign w:val="center"/>
          </w:tcPr>
          <w:p w14:paraId="07DDC461" w14:textId="314C79E8" w:rsidR="005C5886" w:rsidRPr="005A1330" w:rsidRDefault="005C5886" w:rsidP="005A1330">
            <w:pPr>
              <w:jc w:val="center"/>
              <w:rPr>
                <w:rFonts w:cs="Times New Roman (Body CS)"/>
                <w:b/>
                <w:color w:val="FFFFFF" w:themeColor="background1"/>
              </w:rPr>
            </w:pPr>
            <w:r w:rsidRPr="005A1330">
              <w:rPr>
                <w:rFonts w:cs="Times New Roman (Body CS)"/>
                <w:b/>
                <w:color w:val="FFFFFF" w:themeColor="background1"/>
              </w:rPr>
              <w:t>Difference</w:t>
            </w:r>
          </w:p>
        </w:tc>
      </w:tr>
      <w:tr w:rsidR="005C5886" w:rsidRPr="005A1330" w14:paraId="0B2878C4" w14:textId="77777777" w:rsidTr="005A1330">
        <w:trPr>
          <w:trHeight w:val="455"/>
        </w:trPr>
        <w:tc>
          <w:tcPr>
            <w:tcW w:w="1250" w:type="pct"/>
            <w:vAlign w:val="center"/>
          </w:tcPr>
          <w:p w14:paraId="1F948781" w14:textId="4D4C1619" w:rsidR="005C5886" w:rsidRPr="005A1330" w:rsidRDefault="00E55FC3" w:rsidP="005A1330">
            <w:pPr>
              <w:rPr>
                <w:rFonts w:cs="Times New Roman (Body CS)"/>
                <w:b/>
              </w:rPr>
            </w:pPr>
            <w:r w:rsidRPr="005A1330">
              <w:rPr>
                <w:rFonts w:cs="Times New Roman (Body CS)"/>
                <w:b/>
              </w:rPr>
              <w:t>Expansion</w:t>
            </w:r>
          </w:p>
        </w:tc>
        <w:tc>
          <w:tcPr>
            <w:tcW w:w="1250" w:type="pct"/>
            <w:vAlign w:val="center"/>
          </w:tcPr>
          <w:p w14:paraId="201F14FD" w14:textId="73C1676E" w:rsidR="005C5886" w:rsidRPr="005A1330" w:rsidRDefault="00E55FC3" w:rsidP="005A1330">
            <w:pPr>
              <w:jc w:val="center"/>
              <w:rPr>
                <w:rFonts w:cs="Times New Roman (Body CS)"/>
              </w:rPr>
            </w:pPr>
            <w:r w:rsidRPr="005A1330">
              <w:rPr>
                <w:rFonts w:cs="Times New Roman (Body CS)"/>
              </w:rPr>
              <w:t>154.06</w:t>
            </w:r>
          </w:p>
        </w:tc>
        <w:tc>
          <w:tcPr>
            <w:tcW w:w="1250" w:type="pct"/>
            <w:vAlign w:val="center"/>
          </w:tcPr>
          <w:p w14:paraId="6374FF6E" w14:textId="6B738DDE" w:rsidR="005C5886" w:rsidRPr="005A1330" w:rsidRDefault="00E55FC3" w:rsidP="005A1330">
            <w:pPr>
              <w:jc w:val="center"/>
              <w:rPr>
                <w:rFonts w:cs="Times New Roman (Body CS)"/>
              </w:rPr>
            </w:pPr>
            <w:r w:rsidRPr="005A1330">
              <w:rPr>
                <w:rFonts w:cs="Times New Roman (Body CS)"/>
              </w:rPr>
              <w:t>267.96</w:t>
            </w:r>
          </w:p>
        </w:tc>
        <w:tc>
          <w:tcPr>
            <w:tcW w:w="1250" w:type="pct"/>
            <w:vAlign w:val="center"/>
          </w:tcPr>
          <w:p w14:paraId="1A7810C8" w14:textId="63F98DF5" w:rsidR="005C5886" w:rsidRPr="005A1330" w:rsidRDefault="00E55FC3" w:rsidP="005A1330">
            <w:pPr>
              <w:jc w:val="center"/>
              <w:rPr>
                <w:rFonts w:cs="Times New Roman (Body CS)"/>
              </w:rPr>
            </w:pPr>
            <w:r w:rsidRPr="005A1330">
              <w:rPr>
                <w:rFonts w:cs="Times New Roman (Body CS)"/>
              </w:rPr>
              <w:t>113.90</w:t>
            </w:r>
          </w:p>
        </w:tc>
      </w:tr>
      <w:tr w:rsidR="005C5886" w:rsidRPr="005A1330" w14:paraId="342215B2" w14:textId="77777777" w:rsidTr="005A1330">
        <w:trPr>
          <w:trHeight w:val="455"/>
        </w:trPr>
        <w:tc>
          <w:tcPr>
            <w:tcW w:w="1250" w:type="pct"/>
            <w:vAlign w:val="center"/>
          </w:tcPr>
          <w:p w14:paraId="2AAD9BD8" w14:textId="0A45D9A5" w:rsidR="005C5886" w:rsidRPr="005A1330" w:rsidRDefault="00E55FC3" w:rsidP="005A1330">
            <w:pPr>
              <w:rPr>
                <w:rFonts w:cs="Times New Roman (Body CS)"/>
                <w:b/>
              </w:rPr>
            </w:pPr>
            <w:r w:rsidRPr="005A1330">
              <w:rPr>
                <w:rFonts w:cs="Times New Roman (Body CS)"/>
                <w:b/>
              </w:rPr>
              <w:t>Non-expansion</w:t>
            </w:r>
          </w:p>
        </w:tc>
        <w:tc>
          <w:tcPr>
            <w:tcW w:w="1250" w:type="pct"/>
            <w:vAlign w:val="center"/>
          </w:tcPr>
          <w:p w14:paraId="6140807D" w14:textId="5F53B537" w:rsidR="005C5886" w:rsidRPr="005A1330" w:rsidRDefault="00E55FC3" w:rsidP="005A1330">
            <w:pPr>
              <w:jc w:val="center"/>
              <w:rPr>
                <w:rFonts w:cs="Times New Roman (Body CS)"/>
              </w:rPr>
            </w:pPr>
            <w:r w:rsidRPr="005A1330">
              <w:rPr>
                <w:rFonts w:cs="Times New Roman (Body CS)"/>
              </w:rPr>
              <w:t>111.98</w:t>
            </w:r>
          </w:p>
        </w:tc>
        <w:tc>
          <w:tcPr>
            <w:tcW w:w="1250" w:type="pct"/>
            <w:vAlign w:val="center"/>
          </w:tcPr>
          <w:p w14:paraId="028E1F25" w14:textId="222F8A51" w:rsidR="005C5886" w:rsidRPr="005A1330" w:rsidRDefault="00E55FC3" w:rsidP="005A1330">
            <w:pPr>
              <w:jc w:val="center"/>
              <w:rPr>
                <w:rFonts w:cs="Times New Roman (Body CS)"/>
              </w:rPr>
            </w:pPr>
            <w:r w:rsidRPr="005A1330">
              <w:rPr>
                <w:rFonts w:cs="Times New Roman (Body CS)"/>
              </w:rPr>
              <w:t>181.69</w:t>
            </w:r>
          </w:p>
        </w:tc>
        <w:tc>
          <w:tcPr>
            <w:tcW w:w="1250" w:type="pct"/>
            <w:vAlign w:val="center"/>
          </w:tcPr>
          <w:p w14:paraId="214D78DA" w14:textId="42435BDC" w:rsidR="005C5886" w:rsidRPr="005A1330" w:rsidRDefault="00E55FC3" w:rsidP="005A1330">
            <w:pPr>
              <w:jc w:val="center"/>
              <w:rPr>
                <w:rFonts w:cs="Times New Roman (Body CS)"/>
              </w:rPr>
            </w:pPr>
            <w:r w:rsidRPr="005A1330">
              <w:rPr>
                <w:rFonts w:cs="Times New Roman (Body CS)"/>
              </w:rPr>
              <w:t>69.71</w:t>
            </w:r>
          </w:p>
        </w:tc>
      </w:tr>
      <w:tr w:rsidR="005C5886" w:rsidRPr="005A1330" w14:paraId="6F1E1BC9" w14:textId="77777777" w:rsidTr="005A1330">
        <w:trPr>
          <w:trHeight w:val="455"/>
        </w:trPr>
        <w:tc>
          <w:tcPr>
            <w:tcW w:w="1250" w:type="pct"/>
            <w:vAlign w:val="center"/>
          </w:tcPr>
          <w:p w14:paraId="1AA7179F" w14:textId="57C2FB77" w:rsidR="005C5886" w:rsidRPr="005A1330" w:rsidRDefault="00E55FC3" w:rsidP="005A1330">
            <w:pPr>
              <w:rPr>
                <w:rFonts w:cs="Times New Roman (Body CS)"/>
                <w:b/>
              </w:rPr>
            </w:pPr>
            <w:r w:rsidRPr="005A1330">
              <w:rPr>
                <w:rFonts w:cs="Times New Roman (Body CS)"/>
                <w:b/>
              </w:rPr>
              <w:t>Difference</w:t>
            </w:r>
          </w:p>
        </w:tc>
        <w:tc>
          <w:tcPr>
            <w:tcW w:w="1250" w:type="pct"/>
            <w:vAlign w:val="center"/>
          </w:tcPr>
          <w:p w14:paraId="1741ECF4" w14:textId="5229405E" w:rsidR="005C5886" w:rsidRPr="005A1330" w:rsidRDefault="00E55FC3" w:rsidP="005A1330">
            <w:pPr>
              <w:jc w:val="center"/>
              <w:rPr>
                <w:rFonts w:cs="Times New Roman (Body CS)"/>
              </w:rPr>
            </w:pPr>
            <w:r w:rsidRPr="005A1330">
              <w:rPr>
                <w:rFonts w:cs="Times New Roman (Body CS)"/>
              </w:rPr>
              <w:t>42.08</w:t>
            </w:r>
          </w:p>
        </w:tc>
        <w:tc>
          <w:tcPr>
            <w:tcW w:w="1250" w:type="pct"/>
            <w:vAlign w:val="center"/>
          </w:tcPr>
          <w:p w14:paraId="572C1D56" w14:textId="29A212A7" w:rsidR="005C5886" w:rsidRPr="005A1330" w:rsidRDefault="00E55FC3" w:rsidP="005A1330">
            <w:pPr>
              <w:jc w:val="center"/>
              <w:rPr>
                <w:rFonts w:cs="Times New Roman (Body CS)"/>
              </w:rPr>
            </w:pPr>
            <w:r w:rsidRPr="005A1330">
              <w:rPr>
                <w:rFonts w:cs="Times New Roman (Body CS)"/>
              </w:rPr>
              <w:t>86.27</w:t>
            </w:r>
          </w:p>
        </w:tc>
        <w:tc>
          <w:tcPr>
            <w:tcW w:w="1250" w:type="pct"/>
            <w:vAlign w:val="center"/>
          </w:tcPr>
          <w:p w14:paraId="526E5E22" w14:textId="0C7B2628" w:rsidR="005C5886" w:rsidRPr="005A1330" w:rsidRDefault="00E55FC3" w:rsidP="005A1330">
            <w:pPr>
              <w:jc w:val="center"/>
              <w:rPr>
                <w:rFonts w:cs="Times New Roman (Body CS)"/>
                <w:b/>
              </w:rPr>
            </w:pPr>
            <w:r w:rsidRPr="005A1330">
              <w:rPr>
                <w:rFonts w:cs="Times New Roman (Body CS)"/>
                <w:b/>
              </w:rPr>
              <w:t>44.19</w:t>
            </w:r>
          </w:p>
        </w:tc>
      </w:tr>
    </w:tbl>
    <w:p w14:paraId="7D119366" w14:textId="6AF984B6" w:rsidR="009F6028" w:rsidRPr="00F76FAB" w:rsidRDefault="00F76FAB" w:rsidP="00F76FAB">
      <w:pPr>
        <w:rPr>
          <w:sz w:val="20"/>
          <w:szCs w:val="20"/>
        </w:rPr>
      </w:pPr>
      <w:r w:rsidRPr="00F76FAB">
        <w:rPr>
          <w:b/>
          <w:bCs/>
          <w:sz w:val="22"/>
          <w:szCs w:val="22"/>
        </w:rPr>
        <w:t>Figure 1</w:t>
      </w:r>
      <w:r w:rsidRPr="00F76FAB">
        <w:rPr>
          <w:b/>
          <w:bCs/>
          <w:sz w:val="20"/>
          <w:szCs w:val="20"/>
        </w:rPr>
        <w:t xml:space="preserve">. </w:t>
      </w:r>
      <w:r w:rsidRPr="00F76FAB">
        <w:rPr>
          <w:sz w:val="20"/>
          <w:szCs w:val="20"/>
        </w:rPr>
        <w:t>Rows 1 and 2 represent States that expanded Medicaid and States that did not expand Medicaid. Column 1 represents the time period before Medicaid expansion, while Column 2 represents the time period after Medicaid expansion. The values in each cell represent opioid-related emergency department visits per 100,000 population</w:t>
      </w:r>
      <w:r>
        <w:rPr>
          <w:sz w:val="20"/>
          <w:szCs w:val="20"/>
        </w:rPr>
        <w:t>.</w:t>
      </w:r>
    </w:p>
    <w:p w14:paraId="1087B504" w14:textId="42A5D92C" w:rsidR="008A0DBB" w:rsidRPr="00886921" w:rsidRDefault="00BC41EC" w:rsidP="004711A7">
      <w:pPr>
        <w:spacing w:line="480" w:lineRule="auto"/>
        <w:rPr>
          <w:b/>
          <w:bCs/>
          <w:sz w:val="36"/>
          <w:szCs w:val="36"/>
        </w:rPr>
      </w:pPr>
      <w:r w:rsidRPr="00886921">
        <w:rPr>
          <w:b/>
          <w:bCs/>
          <w:sz w:val="36"/>
          <w:szCs w:val="36"/>
        </w:rPr>
        <w:lastRenderedPageBreak/>
        <w:t xml:space="preserve">2    </w:t>
      </w:r>
      <w:r w:rsidR="00062DB8" w:rsidRPr="00886921">
        <w:rPr>
          <w:b/>
          <w:bCs/>
          <w:sz w:val="36"/>
          <w:szCs w:val="36"/>
        </w:rPr>
        <w:t>LITERATURE REVIEW</w:t>
      </w:r>
    </w:p>
    <w:p w14:paraId="12810384" w14:textId="1407B163" w:rsidR="00062DB8" w:rsidRDefault="00062DB8" w:rsidP="009F6028">
      <w:pPr>
        <w:spacing w:line="480" w:lineRule="auto"/>
        <w:jc w:val="both"/>
      </w:pPr>
      <w:r>
        <w:rPr>
          <w:b/>
          <w:bCs/>
        </w:rPr>
        <w:tab/>
      </w:r>
      <w:r>
        <w:t>Previous papers such as Kowalski</w:t>
      </w:r>
      <w:r w:rsidR="00DD4CCB">
        <w:t xml:space="preserve"> </w:t>
      </w:r>
      <w:r w:rsidR="00D45D15">
        <w:t>(2014)</w:t>
      </w:r>
      <w:r w:rsidR="00EB3689">
        <w:rPr>
          <w:i/>
          <w:iCs/>
        </w:rPr>
        <w:t xml:space="preserve"> </w:t>
      </w:r>
      <w:r w:rsidR="00506A31">
        <w:t xml:space="preserve">have quantified increases in insurance coverage between Medicaid expansion and non-Medicaid expansion states. In the Kowalski model, and using data from the National Association of </w:t>
      </w:r>
      <w:r w:rsidR="00837F7B">
        <w:t>I</w:t>
      </w:r>
      <w:r w:rsidR="00506A31">
        <w:t>nsurance Commissioners, the author found that states that expanded Medicaid have increased rates of insurance coverage compared to non-expansion states. My paper build</w:t>
      </w:r>
      <w:r w:rsidR="00BD3206">
        <w:t>s</w:t>
      </w:r>
      <w:r w:rsidR="00506A31">
        <w:t xml:space="preserve"> off of Kowalski’s work by examining whether or not states with increased coverage also showed increases in opioid related emergency department visits. </w:t>
      </w:r>
    </w:p>
    <w:p w14:paraId="3E189D34" w14:textId="4AB53CA8" w:rsidR="006108B2" w:rsidRDefault="006108B2" w:rsidP="009F6028">
      <w:pPr>
        <w:spacing w:line="480" w:lineRule="auto"/>
        <w:jc w:val="both"/>
      </w:pPr>
      <w:r>
        <w:tab/>
      </w:r>
      <w:r w:rsidR="00C63FB8">
        <w:t xml:space="preserve">In a separate study, </w:t>
      </w:r>
      <w:proofErr w:type="spellStart"/>
      <w:r w:rsidR="00C63FB8">
        <w:t>Courtemanche</w:t>
      </w:r>
      <w:proofErr w:type="spellEnd"/>
      <w:r w:rsidR="008E3844">
        <w:t xml:space="preserve"> </w:t>
      </w:r>
      <w:r w:rsidR="00D45D15">
        <w:t>(2017)</w:t>
      </w:r>
      <w:r w:rsidR="00C63FB8">
        <w:t xml:space="preserve"> examined the effect of the Affordable Care Act on ambulance response times. Using a difference in differences model similar to mine, and data from the Small Area Health Insurance Estimates Program and the Fatality Analysis Reporting System, a yearly nationwide census regarding fatal injuries suffered in motor vehicle traffic crashes, </w:t>
      </w:r>
      <w:r w:rsidR="00CD438A">
        <w:t xml:space="preserve">Courtemanche et al. found there was a </w:t>
      </w:r>
      <w:r w:rsidR="00E50B4F">
        <w:t>negative</w:t>
      </w:r>
      <w:r w:rsidR="00CD438A">
        <w:t xml:space="preserve"> correlation between increases in insurance coverage and ambulance response times, with each percentage point increase in insurance coverage slowing response time by 24 seconds. </w:t>
      </w:r>
      <w:r w:rsidR="00B32402">
        <w:t>My paper use</w:t>
      </w:r>
      <w:r w:rsidR="00BD3206">
        <w:t>s</w:t>
      </w:r>
      <w:r w:rsidR="00B32402">
        <w:t xml:space="preserve"> a similar methodology for examining the effect of the Affordable Care Act, but</w:t>
      </w:r>
      <w:r w:rsidR="00BD3206">
        <w:t xml:space="preserve"> I</w:t>
      </w:r>
      <w:r w:rsidR="00B32402">
        <w:t xml:space="preserve"> examin</w:t>
      </w:r>
      <w:r w:rsidR="00BD3206">
        <w:t>e</w:t>
      </w:r>
      <w:r w:rsidR="00B32402">
        <w:t xml:space="preserve"> the effect on opioid-related emergency department visits instead of ambulance response times</w:t>
      </w:r>
      <w:r w:rsidR="00D45D15">
        <w:t>.</w:t>
      </w:r>
    </w:p>
    <w:p w14:paraId="097B17B0" w14:textId="182FABE4" w:rsidR="00BD3206" w:rsidRDefault="00230D1B" w:rsidP="009F6028">
      <w:pPr>
        <w:spacing w:line="480" w:lineRule="auto"/>
        <w:jc w:val="both"/>
      </w:pPr>
      <w:r>
        <w:tab/>
        <w:t xml:space="preserve">Two additional studies, </w:t>
      </w:r>
      <w:r w:rsidR="00D45D15">
        <w:t>Ghosh</w:t>
      </w:r>
      <w:r w:rsidR="000250C2">
        <w:t xml:space="preserve"> </w:t>
      </w:r>
      <w:r w:rsidR="00D45D15">
        <w:t>(2017) and Buckley</w:t>
      </w:r>
      <w:r w:rsidR="00FE73BA">
        <w:t xml:space="preserve"> </w:t>
      </w:r>
      <w:r w:rsidR="00D45D15">
        <w:t>(2012</w:t>
      </w:r>
      <w:r w:rsidR="00152045">
        <w:t>),</w:t>
      </w:r>
      <w:r>
        <w:t xml:space="preserve"> also compare outcomes between Medicaid expansion and non-expansion states. </w:t>
      </w:r>
      <w:r w:rsidR="00C71DA1">
        <w:t>These studies found that people in Medicaid expansion states had higher rates of opioid prescription utilization, but lower estimated possible opioid m</w:t>
      </w:r>
      <w:r w:rsidR="00EA0C66">
        <w:softHyphen/>
      </w:r>
      <w:r w:rsidR="00EA0C66">
        <w:softHyphen/>
      </w:r>
      <w:r w:rsidR="00EA0C66">
        <w:softHyphen/>
      </w:r>
      <w:r w:rsidR="00C71DA1">
        <w:t>isuse. My work</w:t>
      </w:r>
      <w:r w:rsidR="00BD3206">
        <w:t xml:space="preserve"> </w:t>
      </w:r>
      <w:r w:rsidR="00C71DA1">
        <w:t>contribute</w:t>
      </w:r>
      <w:r w:rsidR="00BD3206">
        <w:t>s</w:t>
      </w:r>
      <w:r w:rsidR="00C71DA1">
        <w:t xml:space="preserve"> to the small but growing literature surrounding opioid use and misuse in Medicaid expansion vs non-expansion States</w:t>
      </w:r>
      <w:r w:rsidR="001743BE">
        <w:t xml:space="preserve">, using a different dataset and measuring different outcomes. </w:t>
      </w:r>
      <w:r w:rsidR="00C71DA1">
        <w:t xml:space="preserve"> </w:t>
      </w:r>
    </w:p>
    <w:p w14:paraId="7E392650" w14:textId="2D5B335E" w:rsidR="00CF7542" w:rsidRPr="00886921" w:rsidRDefault="00BC41EC" w:rsidP="004711A7">
      <w:pPr>
        <w:spacing w:line="480" w:lineRule="auto"/>
        <w:rPr>
          <w:sz w:val="36"/>
          <w:szCs w:val="36"/>
        </w:rPr>
      </w:pPr>
      <w:r w:rsidRPr="00886921">
        <w:rPr>
          <w:b/>
          <w:bCs/>
          <w:sz w:val="36"/>
          <w:szCs w:val="36"/>
        </w:rPr>
        <w:lastRenderedPageBreak/>
        <w:t xml:space="preserve">3    </w:t>
      </w:r>
      <w:r w:rsidR="0082509F" w:rsidRPr="00886921">
        <w:rPr>
          <w:b/>
          <w:bCs/>
          <w:sz w:val="36"/>
          <w:szCs w:val="36"/>
        </w:rPr>
        <w:t>Data Sources</w:t>
      </w:r>
    </w:p>
    <w:p w14:paraId="705CDFA0" w14:textId="7E0D7191" w:rsidR="0082509F" w:rsidRPr="001F1DA1" w:rsidRDefault="0082509F" w:rsidP="009F6028">
      <w:pPr>
        <w:spacing w:line="480" w:lineRule="auto"/>
        <w:jc w:val="both"/>
        <w:rPr>
          <w:strike/>
        </w:rPr>
      </w:pPr>
      <w:r>
        <w:tab/>
      </w:r>
      <w:r w:rsidR="006F118A">
        <w:t>The main data source I us</w:t>
      </w:r>
      <w:r w:rsidR="00BD3206">
        <w:t>ed</w:t>
      </w:r>
      <w:r w:rsidR="006F118A">
        <w:t xml:space="preserve"> comes from the Agency for Health Research and Quality (AHRQ). The dat</w:t>
      </w:r>
      <w:r w:rsidR="00735A3B">
        <w:t>a</w:t>
      </w:r>
      <w:r w:rsidR="00837F7B">
        <w:t xml:space="preserve"> </w:t>
      </w:r>
      <w:r w:rsidR="006F118A">
        <w:t xml:space="preserve">set that I will be using from AHRQ is a count of opioid-related emergency department </w:t>
      </w:r>
      <w:r w:rsidR="009244EB">
        <w:t xml:space="preserve">(ORED) </w:t>
      </w:r>
      <w:r w:rsidR="006F118A">
        <w:t>visits</w:t>
      </w:r>
      <w:r w:rsidR="00A12497">
        <w:t xml:space="preserve"> per 100,000 population</w:t>
      </w:r>
      <w:r w:rsidR="006F118A">
        <w:t>, by state, by year, from 200</w:t>
      </w:r>
      <w:r w:rsidR="00F24E3B">
        <w:t>8</w:t>
      </w:r>
      <w:r w:rsidR="006F118A">
        <w:t xml:space="preserve"> to 2016. </w:t>
      </w:r>
    </w:p>
    <w:p w14:paraId="0437822D" w14:textId="2B3CB84D" w:rsidR="00075F23" w:rsidRDefault="00075F23" w:rsidP="009F6028">
      <w:pPr>
        <w:spacing w:line="480" w:lineRule="auto"/>
        <w:jc w:val="both"/>
      </w:pPr>
      <w:r>
        <w:tab/>
      </w:r>
      <w:r w:rsidR="00B92E65">
        <w:t>State-level controls</w:t>
      </w:r>
      <w:r w:rsidR="007C5F6B">
        <w:t xml:space="preserve"> c</w:t>
      </w:r>
      <w:r w:rsidR="00BD3206">
        <w:t>a</w:t>
      </w:r>
      <w:r w:rsidR="007C5F6B">
        <w:t xml:space="preserve">me from </w:t>
      </w:r>
      <w:r>
        <w:t>the</w:t>
      </w:r>
      <w:r w:rsidR="00FF2FB0">
        <w:t xml:space="preserve"> Occupation Employment Statistics Survey (OES) via the</w:t>
      </w:r>
      <w:r>
        <w:t xml:space="preserve"> Bureau of Labor Statistics</w:t>
      </w:r>
      <w:r w:rsidR="00CE7D57">
        <w:t xml:space="preserve"> (BLS)</w:t>
      </w:r>
      <w:r>
        <w:t xml:space="preserve">. </w:t>
      </w:r>
      <w:r w:rsidR="00CE7D57">
        <w:t xml:space="preserve">The specific variables that I </w:t>
      </w:r>
      <w:r w:rsidR="00BD3206">
        <w:t>was</w:t>
      </w:r>
      <w:r w:rsidR="00CE7D57">
        <w:t xml:space="preserve"> interested in from the OES </w:t>
      </w:r>
      <w:r w:rsidR="00BD3206">
        <w:t>were</w:t>
      </w:r>
      <w:r w:rsidR="00CE7D57">
        <w:t xml:space="preserve"> state-year measures of total employment, mean hourly wage, mean annual wage, and percentile wage statistics. The second dataset I will be using from the BLS is the Local Area Unemployment Statistics dataset. This dataset contains state-level unemployment rates by month. </w:t>
      </w:r>
      <w:r w:rsidR="000B7BE8">
        <w:t>State GPD per capita data was also collected from the BLS.</w:t>
      </w:r>
      <w:r w:rsidR="00CE7D57">
        <w:t xml:space="preserve"> </w:t>
      </w:r>
      <w:r w:rsidR="007F51B1">
        <w:t>I believe that a</w:t>
      </w:r>
      <w:r>
        <w:t xml:space="preserve">ccounting for these </w:t>
      </w:r>
      <w:r w:rsidR="00CE7D57">
        <w:t xml:space="preserve">state control </w:t>
      </w:r>
      <w:r>
        <w:t>variables allow</w:t>
      </w:r>
      <w:r w:rsidR="00BD3206">
        <w:t>ed</w:t>
      </w:r>
      <w:r>
        <w:t xml:space="preserve"> me to reduce the chance of my study suffering</w:t>
      </w:r>
      <w:r w:rsidR="004D7929">
        <w:t xml:space="preserve"> from omitted </w:t>
      </w:r>
      <w:r w:rsidR="00E76AD9">
        <w:t xml:space="preserve">variable bias. </w:t>
      </w:r>
    </w:p>
    <w:p w14:paraId="4808D652" w14:textId="52969228" w:rsidR="007F51B1" w:rsidRDefault="008E7D7C" w:rsidP="009F6028">
      <w:pPr>
        <w:spacing w:line="480" w:lineRule="auto"/>
        <w:jc w:val="both"/>
      </w:pPr>
      <w:r>
        <w:tab/>
        <w:t>States that d</w:t>
      </w:r>
      <w:r w:rsidR="00BD3206">
        <w:t xml:space="preserve">id </w:t>
      </w:r>
      <w:r>
        <w:t xml:space="preserve">not have complete </w:t>
      </w:r>
      <w:r w:rsidR="00DB1E22">
        <w:t>opioid</w:t>
      </w:r>
      <w:r w:rsidR="00837F7B">
        <w:t>-</w:t>
      </w:r>
      <w:r w:rsidR="00A30C90">
        <w:t>related</w:t>
      </w:r>
      <w:r w:rsidR="00DB1E22">
        <w:t xml:space="preserve"> emergency department visits </w:t>
      </w:r>
      <w:r>
        <w:t>data from 2008 to 2016 w</w:t>
      </w:r>
      <w:r w:rsidR="00BD3206">
        <w:t>ere</w:t>
      </w:r>
      <w:r>
        <w:t xml:space="preserve"> excluded from my sample. This le</w:t>
      </w:r>
      <w:r w:rsidR="00BD3206">
        <w:t>ft</w:t>
      </w:r>
      <w:r>
        <w:t xml:space="preserve"> me with the following </w:t>
      </w:r>
      <w:r w:rsidR="00410742">
        <w:t xml:space="preserve">26 </w:t>
      </w:r>
      <w:r>
        <w:t>states: Arizona, California, Connecticut, Florida, Hawaii, Indiana, Iowa, Kansas, Kentucky, Maine, Maryland, Massachusetts, Minnesota, Missouri, Nebraska, New Jersey, New York, North Carolina, Ohio, Rhode Island, South Carolina, South Dakota, Tennessee, Utah, Vermont, and Wisconsin.</w:t>
      </w:r>
    </w:p>
    <w:p w14:paraId="6B6562E7" w14:textId="77777777" w:rsidR="008E11ED" w:rsidRDefault="008E11ED" w:rsidP="009F6028">
      <w:pPr>
        <w:spacing w:line="480" w:lineRule="auto"/>
        <w:jc w:val="both"/>
      </w:pPr>
    </w:p>
    <w:p w14:paraId="449EA379" w14:textId="64281EA4" w:rsidR="00714905" w:rsidRPr="00886921" w:rsidRDefault="00BC41EC" w:rsidP="007832D7">
      <w:pPr>
        <w:spacing w:line="480" w:lineRule="auto"/>
        <w:rPr>
          <w:b/>
          <w:bCs/>
          <w:sz w:val="36"/>
          <w:szCs w:val="36"/>
        </w:rPr>
      </w:pPr>
      <w:r w:rsidRPr="00886921">
        <w:rPr>
          <w:b/>
          <w:bCs/>
          <w:sz w:val="36"/>
          <w:szCs w:val="36"/>
        </w:rPr>
        <w:t xml:space="preserve">4    </w:t>
      </w:r>
      <w:r w:rsidR="00714905" w:rsidRPr="00886921">
        <w:rPr>
          <w:b/>
          <w:bCs/>
          <w:sz w:val="36"/>
          <w:szCs w:val="36"/>
        </w:rPr>
        <w:t xml:space="preserve">Planned Methodology </w:t>
      </w:r>
    </w:p>
    <w:p w14:paraId="69A7A1E5" w14:textId="3281FDF0" w:rsidR="001F1DA1" w:rsidRDefault="001F1DA1" w:rsidP="009F6028">
      <w:pPr>
        <w:spacing w:line="480" w:lineRule="auto"/>
        <w:jc w:val="both"/>
      </w:pPr>
      <w:r>
        <w:tab/>
        <w:t xml:space="preserve">Regression (1) is a basic difference in differences regression that </w:t>
      </w:r>
      <w:r w:rsidR="009244EB">
        <w:t>was the</w:t>
      </w:r>
      <w:r>
        <w:t xml:space="preserve"> base for my analysis:</w:t>
      </w:r>
    </w:p>
    <w:p w14:paraId="1AA84FF3" w14:textId="43766A0C" w:rsidR="001F1DA1" w:rsidRDefault="001F1DA1" w:rsidP="00A10DF5">
      <w:pPr>
        <w:spacing w:line="480" w:lineRule="auto"/>
        <w:jc w:val="center"/>
      </w:pPr>
      <w:r>
        <w:t>(1) O</w:t>
      </w:r>
      <w:r w:rsidR="00A22A97">
        <w:t>RED</w:t>
      </w:r>
      <w:r>
        <w:t xml:space="preserve"> = B</w:t>
      </w:r>
      <w:r>
        <w:rPr>
          <w:vertAlign w:val="subscript"/>
        </w:rPr>
        <w:t>1</w:t>
      </w:r>
      <w:r w:rsidRPr="001F1DA1">
        <w:rPr>
          <w:i/>
          <w:iCs/>
        </w:rPr>
        <w:t>Expansion</w:t>
      </w:r>
      <w:r>
        <w:t xml:space="preserve"> + B</w:t>
      </w:r>
      <w:r>
        <w:rPr>
          <w:vertAlign w:val="subscript"/>
        </w:rPr>
        <w:t>2</w:t>
      </w:r>
      <w:r w:rsidRPr="001F1DA1">
        <w:rPr>
          <w:i/>
          <w:iCs/>
        </w:rPr>
        <w:t>After2014</w:t>
      </w:r>
      <w:r>
        <w:t xml:space="preserve"> + B</w:t>
      </w:r>
      <w:r>
        <w:rPr>
          <w:vertAlign w:val="subscript"/>
        </w:rPr>
        <w:t>3</w:t>
      </w:r>
      <w:r>
        <w:t>(</w:t>
      </w:r>
      <w:r w:rsidRPr="001F1DA1">
        <w:rPr>
          <w:i/>
          <w:iCs/>
        </w:rPr>
        <w:t>Expansion</w:t>
      </w:r>
      <w:r>
        <w:t xml:space="preserve"> * </w:t>
      </w:r>
      <w:r w:rsidRPr="001F1DA1">
        <w:rPr>
          <w:i/>
          <w:iCs/>
        </w:rPr>
        <w:t>After2014</w:t>
      </w:r>
      <w:r>
        <w:t>)</w:t>
      </w:r>
    </w:p>
    <w:p w14:paraId="30CF15EB" w14:textId="77777777" w:rsidR="00A10DF5" w:rsidRPr="001F1DA1" w:rsidRDefault="00A10DF5" w:rsidP="00A10DF5">
      <w:pPr>
        <w:spacing w:line="480" w:lineRule="auto"/>
        <w:jc w:val="center"/>
      </w:pPr>
    </w:p>
    <w:p w14:paraId="60F37EB8" w14:textId="5C4EB650" w:rsidR="007B386B" w:rsidRDefault="000168B1" w:rsidP="009F6028">
      <w:pPr>
        <w:spacing w:line="480" w:lineRule="auto"/>
        <w:jc w:val="both"/>
      </w:pPr>
      <w:r>
        <w:t xml:space="preserve">The </w:t>
      </w:r>
      <w:r w:rsidR="00767B00">
        <w:t>key dependent variable that is opioid-related emergency department visits</w:t>
      </w:r>
      <w:r w:rsidR="009244EB">
        <w:t xml:space="preserve"> (ORED)</w:t>
      </w:r>
      <w:r w:rsidR="00767B00">
        <w:t xml:space="preserve">, and the key independent variables are </w:t>
      </w:r>
      <w:r w:rsidR="00767B00" w:rsidRPr="00767B00">
        <w:rPr>
          <w:i/>
          <w:iCs/>
        </w:rPr>
        <w:t>Expanded</w:t>
      </w:r>
      <w:r w:rsidR="00767B00">
        <w:t xml:space="preserve"> and </w:t>
      </w:r>
      <w:r w:rsidR="00767B00" w:rsidRPr="00767B00">
        <w:rPr>
          <w:i/>
          <w:iCs/>
        </w:rPr>
        <w:t>After2014</w:t>
      </w:r>
      <w:r w:rsidR="00767B00">
        <w:t>.</w:t>
      </w:r>
      <w:r w:rsidR="00A6053B">
        <w:t xml:space="preserve"> </w:t>
      </w:r>
      <w:r w:rsidR="00914E76">
        <w:t>In this regression</w:t>
      </w:r>
      <w:r w:rsidR="00513533">
        <w:t>,</w:t>
      </w:r>
      <w:r w:rsidR="00914E76">
        <w:t xml:space="preserve"> B</w:t>
      </w:r>
      <w:r w:rsidR="00914E76" w:rsidRPr="0047314B">
        <w:rPr>
          <w:vertAlign w:val="subscript"/>
        </w:rPr>
        <w:t>1</w:t>
      </w:r>
      <w:r w:rsidR="00914E76">
        <w:t xml:space="preserve"> represents the </w:t>
      </w:r>
      <w:r w:rsidR="00513533">
        <w:t xml:space="preserve">effect on </w:t>
      </w:r>
      <w:r w:rsidR="009244EB">
        <w:t>ORED</w:t>
      </w:r>
      <w:r w:rsidR="00513533">
        <w:t xml:space="preserve"> of a state choosing to expand Medicaid. B</w:t>
      </w:r>
      <w:r w:rsidR="00513533" w:rsidRPr="0047314B">
        <w:rPr>
          <w:vertAlign w:val="subscript"/>
        </w:rPr>
        <w:t>2</w:t>
      </w:r>
      <w:r w:rsidR="00513533">
        <w:t xml:space="preserve"> represents the effect on </w:t>
      </w:r>
      <w:r w:rsidR="009244EB">
        <w:t>ORED</w:t>
      </w:r>
      <w:r w:rsidR="00513533">
        <w:t xml:space="preserve"> if the time period being looked at is post 2014, when Medicaid Expansion policy took effect. B</w:t>
      </w:r>
      <w:r w:rsidR="00513533" w:rsidRPr="0047314B">
        <w:rPr>
          <w:vertAlign w:val="subscript"/>
        </w:rPr>
        <w:t>3</w:t>
      </w:r>
      <w:r w:rsidR="00513533">
        <w:t xml:space="preserve"> shows the </w:t>
      </w:r>
      <w:r w:rsidR="00D17724">
        <w:t xml:space="preserve">additional </w:t>
      </w:r>
      <w:r w:rsidR="00513533">
        <w:t xml:space="preserve">effect on </w:t>
      </w:r>
      <w:r w:rsidR="009244EB">
        <w:t>ORED</w:t>
      </w:r>
      <w:r w:rsidR="00513533">
        <w:t xml:space="preserve"> if </w:t>
      </w:r>
      <w:r w:rsidR="00D17724">
        <w:t xml:space="preserve">a State has chosen to expand Medicaid and Medicaid Expansion policies have taken effect. </w:t>
      </w:r>
    </w:p>
    <w:p w14:paraId="2089B79A" w14:textId="13889DC2" w:rsidR="006C0D22" w:rsidRDefault="006C0D22" w:rsidP="009F6028">
      <w:pPr>
        <w:spacing w:line="480" w:lineRule="auto"/>
        <w:jc w:val="both"/>
      </w:pPr>
      <w:r>
        <w:tab/>
        <w:t>Regression (2) is the same regression as before, but with added State fixed effects, time fixed effects, and control variables.</w:t>
      </w:r>
    </w:p>
    <w:p w14:paraId="7B18D697" w14:textId="77777777" w:rsidR="00A10DF5" w:rsidRDefault="00A10DF5" w:rsidP="004711A7">
      <w:pPr>
        <w:spacing w:line="480" w:lineRule="auto"/>
      </w:pPr>
    </w:p>
    <w:p w14:paraId="6464F08B" w14:textId="02ED6B20" w:rsidR="00274F0C" w:rsidRDefault="006C0D22" w:rsidP="004711A7">
      <w:pPr>
        <w:spacing w:line="480" w:lineRule="auto"/>
        <w:ind w:left="720"/>
        <w:jc w:val="center"/>
        <w:rPr>
          <w:vertAlign w:val="subscript"/>
        </w:rPr>
      </w:pPr>
      <w:r>
        <w:t xml:space="preserve">(2) </w:t>
      </w:r>
      <w:proofErr w:type="spellStart"/>
      <w:r w:rsidR="00274F0C" w:rsidRPr="00274F0C">
        <w:t>O</w:t>
      </w:r>
      <w:r w:rsidR="00A22A97">
        <w:t>RED</w:t>
      </w:r>
      <w:r w:rsidR="00274F0C" w:rsidRPr="00274F0C">
        <w:rPr>
          <w:vertAlign w:val="subscript"/>
        </w:rPr>
        <w:t>st</w:t>
      </w:r>
      <w:proofErr w:type="spellEnd"/>
      <w:r w:rsidR="00274F0C" w:rsidRPr="00274F0C">
        <w:t>=</w:t>
      </w:r>
      <w:r w:rsidR="00274F0C" w:rsidRPr="00274F0C">
        <w:rPr>
          <w:i/>
          <w:iCs/>
        </w:rPr>
        <w:t xml:space="preserve"> </w:t>
      </w:r>
      <w:r w:rsidR="00274F0C" w:rsidRPr="00274F0C">
        <w:t>B</w:t>
      </w:r>
      <w:r w:rsidR="00274F0C" w:rsidRPr="00274F0C">
        <w:rPr>
          <w:vertAlign w:val="subscript"/>
        </w:rPr>
        <w:t>1</w:t>
      </w:r>
      <w:r w:rsidR="00274F0C" w:rsidRPr="00274F0C">
        <w:t>(</w:t>
      </w:r>
      <w:r w:rsidR="00274F0C" w:rsidRPr="00274F0C">
        <w:rPr>
          <w:i/>
          <w:iCs/>
        </w:rPr>
        <w:t>Expansion * After</w:t>
      </w:r>
      <w:proofErr w:type="gramStart"/>
      <w:r w:rsidR="00274F0C" w:rsidRPr="00274F0C">
        <w:rPr>
          <w:i/>
          <w:iCs/>
        </w:rPr>
        <w:t>2014</w:t>
      </w:r>
      <w:r w:rsidR="00274F0C" w:rsidRPr="00274F0C">
        <w:t>)</w:t>
      </w:r>
      <w:proofErr w:type="spellStart"/>
      <w:r w:rsidR="00274F0C" w:rsidRPr="00274F0C">
        <w:rPr>
          <w:vertAlign w:val="subscript"/>
        </w:rPr>
        <w:t>st</w:t>
      </w:r>
      <w:proofErr w:type="spellEnd"/>
      <w:proofErr w:type="gramEnd"/>
      <w:r w:rsidR="00274F0C" w:rsidRPr="00274F0C">
        <w:rPr>
          <w:i/>
          <w:iCs/>
        </w:rPr>
        <w:t xml:space="preserve"> </w:t>
      </w:r>
      <w:r w:rsidR="00274F0C" w:rsidRPr="00274F0C">
        <w:t xml:space="preserve">+ </w:t>
      </w:r>
      <w:proofErr w:type="spellStart"/>
      <w:r w:rsidR="00274F0C" w:rsidRPr="00274F0C">
        <w:rPr>
          <w:b/>
          <w:bCs/>
        </w:rPr>
        <w:t>X</w:t>
      </w:r>
      <w:r w:rsidR="00274F0C" w:rsidRPr="00274F0C">
        <w:rPr>
          <w:vertAlign w:val="subscript"/>
        </w:rPr>
        <w:t>st</w:t>
      </w:r>
      <w:proofErr w:type="spellEnd"/>
      <w:r w:rsidR="00274F0C" w:rsidRPr="00274F0C">
        <w:t xml:space="preserve"> + </w:t>
      </w:r>
      <w:proofErr w:type="spellStart"/>
      <w:r w:rsidR="00274F0C" w:rsidRPr="00274F0C">
        <w:t>Γ</w:t>
      </w:r>
      <w:r w:rsidR="00274F0C" w:rsidRPr="00274F0C">
        <w:rPr>
          <w:vertAlign w:val="subscript"/>
        </w:rPr>
        <w:t>t</w:t>
      </w:r>
      <w:proofErr w:type="spellEnd"/>
      <w:r w:rsidR="00274F0C" w:rsidRPr="00274F0C">
        <w:rPr>
          <w:vertAlign w:val="subscript"/>
        </w:rPr>
        <w:t xml:space="preserve"> </w:t>
      </w:r>
      <w:r w:rsidR="00274F0C" w:rsidRPr="00274F0C">
        <w:t>+</w:t>
      </w:r>
      <w:r w:rsidR="006E3F8D">
        <w:t xml:space="preserve"> FE</w:t>
      </w:r>
      <w:r w:rsidR="006E3F8D">
        <w:rPr>
          <w:vertAlign w:val="subscript"/>
        </w:rPr>
        <w:t xml:space="preserve">s </w:t>
      </w:r>
      <w:r w:rsidR="006E3F8D">
        <w:rPr>
          <w:rFonts w:eastAsiaTheme="minorEastAsia"/>
        </w:rPr>
        <w:t>+</w:t>
      </w:r>
      <m:oMath>
        <m:r>
          <m:rPr>
            <m:sty m:val="p"/>
          </m:rPr>
          <w:rPr>
            <w:rFonts w:ascii="Cambria Math" w:hAnsi="Cambria Math"/>
          </w:rPr>
          <m:t> ∈</m:t>
        </m:r>
      </m:oMath>
      <w:r w:rsidR="00274F0C" w:rsidRPr="00274F0C">
        <w:rPr>
          <w:vertAlign w:val="subscript"/>
        </w:rPr>
        <w:t>st</w:t>
      </w:r>
    </w:p>
    <w:p w14:paraId="69335F4C" w14:textId="77777777" w:rsidR="00A10DF5" w:rsidRDefault="00A10DF5" w:rsidP="004711A7">
      <w:pPr>
        <w:spacing w:line="480" w:lineRule="auto"/>
        <w:ind w:left="720"/>
        <w:jc w:val="center"/>
        <w:rPr>
          <w:vertAlign w:val="subscript"/>
        </w:rPr>
      </w:pPr>
    </w:p>
    <w:p w14:paraId="2CB39D13" w14:textId="29BC91C8" w:rsidR="00BC41EC" w:rsidRDefault="006C0D22" w:rsidP="008E11ED">
      <w:pPr>
        <w:spacing w:line="480" w:lineRule="auto"/>
        <w:jc w:val="both"/>
        <w:rPr>
          <w:rFonts w:eastAsiaTheme="minorEastAsia"/>
        </w:rPr>
      </w:pPr>
      <w:r>
        <w:t>Notice that B</w:t>
      </w:r>
      <w:r>
        <w:rPr>
          <w:vertAlign w:val="subscript"/>
        </w:rPr>
        <w:t xml:space="preserve">1 </w:t>
      </w:r>
      <w:r>
        <w:t>and B</w:t>
      </w:r>
      <w:r>
        <w:rPr>
          <w:vertAlign w:val="subscript"/>
        </w:rPr>
        <w:t>2</w:t>
      </w:r>
      <w:r>
        <w:t xml:space="preserve"> are no longer explicitly shown in the regression model. This is because the </w:t>
      </w:r>
      <w:r w:rsidRPr="006C0D22">
        <w:rPr>
          <w:i/>
          <w:iCs/>
        </w:rPr>
        <w:t>Expansion</w:t>
      </w:r>
      <w:r>
        <w:t xml:space="preserve"> term, whether or not a State decided to expand Medicaid, is included in State fixed effects; State fixed effects control for all variables within a State that remain constant, thus, a State’s decision whether to expand Medicaid does not change, so it is considered a fixed effect</w:t>
      </w:r>
      <w:r w:rsidR="00AB7DA3">
        <w:t>.</w:t>
      </w:r>
      <w:r>
        <w:t xml:space="preserve"> Likewise, </w:t>
      </w:r>
      <w:r w:rsidRPr="006C0D22">
        <w:rPr>
          <w:i/>
          <w:iCs/>
        </w:rPr>
        <w:t>After2014</w:t>
      </w:r>
      <w:r w:rsidR="00AB7DA3">
        <w:t xml:space="preserve"> </w:t>
      </w:r>
      <w:r>
        <w:t xml:space="preserve">is included in time fixed effects; Time fixed effects control for all variables that remain constant over time. </w:t>
      </w:r>
      <w:r w:rsidR="00AB7DA3">
        <w:rPr>
          <w:b/>
          <w:bCs/>
        </w:rPr>
        <w:t>X</w:t>
      </w:r>
      <w:r w:rsidR="00AB7DA3">
        <w:t xml:space="preserve"> is a placeholder for my list of controls</w:t>
      </w:r>
      <w:r>
        <w:t>, which includes GDP per capita, median hourly wage, and unemployment rate</w:t>
      </w:r>
      <w:r w:rsidR="00AB7DA3">
        <w:t xml:space="preserve">. </w:t>
      </w:r>
      <w:r w:rsidR="003C6463">
        <w:sym w:font="Symbol" w:char="F047"/>
      </w:r>
      <w:r w:rsidR="003C6463">
        <w:t xml:space="preserve"> is a</w:t>
      </w:r>
      <w:r w:rsidR="000B7BE8">
        <w:t xml:space="preserve"> set of</w:t>
      </w:r>
      <w:r w:rsidR="003C6463">
        <w:t xml:space="preserve"> </w:t>
      </w:r>
      <w:r w:rsidR="006E3F8D">
        <w:t>binary</w:t>
      </w:r>
      <w:r w:rsidR="003C6463">
        <w:t xml:space="preserve"> time (year)</w:t>
      </w:r>
      <w:r w:rsidR="00A30548">
        <w:t xml:space="preserve"> variable</w:t>
      </w:r>
      <w:r w:rsidR="000B7BE8">
        <w:t xml:space="preserve">s, one for each year </w:t>
      </w:r>
      <w:proofErr w:type="gramStart"/>
      <w:r w:rsidR="000B7BE8">
        <w:t>between 2008-2016</w:t>
      </w:r>
      <w:r w:rsidR="003C6463">
        <w:t>.</w:t>
      </w:r>
      <w:proofErr w:type="gramEnd"/>
      <w:r w:rsidR="003C6463">
        <w:t xml:space="preserve"> </w:t>
      </w:r>
      <w:r w:rsidR="006E3F8D">
        <w:t xml:space="preserve">FE represents fixed effects. </w:t>
      </w:r>
      <m:oMath>
        <m:r>
          <m:rPr>
            <m:sty m:val="p"/>
          </m:rPr>
          <w:rPr>
            <w:rFonts w:ascii="Cambria Math" w:hAnsi="Cambria Math"/>
          </w:rPr>
          <m:t>∈</m:t>
        </m:r>
      </m:oMath>
      <w:r w:rsidR="003C6463">
        <w:rPr>
          <w:rFonts w:eastAsiaTheme="minorEastAsia"/>
        </w:rPr>
        <w:t xml:space="preserve"> is my error term. The subscript “s” is for states, and the subscript “t” is time in years.</w:t>
      </w:r>
    </w:p>
    <w:p w14:paraId="4231735B" w14:textId="77777777" w:rsidR="008E11ED" w:rsidRDefault="008E11ED" w:rsidP="008E11ED">
      <w:pPr>
        <w:spacing w:line="480" w:lineRule="auto"/>
        <w:jc w:val="both"/>
        <w:rPr>
          <w:rFonts w:eastAsiaTheme="minorEastAsia"/>
        </w:rPr>
      </w:pPr>
    </w:p>
    <w:p w14:paraId="0A7A7987" w14:textId="601D57F4" w:rsidR="009D13C7" w:rsidRPr="00886921" w:rsidRDefault="00BC41EC" w:rsidP="004711A7">
      <w:pPr>
        <w:spacing w:line="480" w:lineRule="auto"/>
        <w:rPr>
          <w:rFonts w:eastAsiaTheme="minorEastAsia"/>
          <w:b/>
          <w:bCs/>
          <w:sz w:val="36"/>
          <w:szCs w:val="36"/>
        </w:rPr>
      </w:pPr>
      <w:r w:rsidRPr="00886921">
        <w:rPr>
          <w:rFonts w:eastAsiaTheme="minorEastAsia"/>
          <w:b/>
          <w:bCs/>
          <w:sz w:val="36"/>
          <w:szCs w:val="36"/>
        </w:rPr>
        <w:lastRenderedPageBreak/>
        <w:t xml:space="preserve">5    </w:t>
      </w:r>
      <w:r w:rsidR="009D13C7" w:rsidRPr="00886921">
        <w:rPr>
          <w:rFonts w:eastAsiaTheme="minorEastAsia"/>
          <w:b/>
          <w:bCs/>
          <w:sz w:val="36"/>
          <w:szCs w:val="36"/>
        </w:rPr>
        <w:t>Descriptive Statistics</w:t>
      </w:r>
    </w:p>
    <w:p w14:paraId="746A4C8A" w14:textId="2D1549E3" w:rsidR="006A4749" w:rsidRDefault="009D13C7" w:rsidP="009F6028">
      <w:pPr>
        <w:spacing w:line="480" w:lineRule="auto"/>
        <w:jc w:val="both"/>
        <w:rPr>
          <w:rFonts w:eastAsiaTheme="minorEastAsia"/>
        </w:rPr>
      </w:pPr>
      <w:r w:rsidRPr="009D13C7">
        <w:rPr>
          <w:rFonts w:eastAsiaTheme="minorEastAsia"/>
          <w:noProof/>
        </w:rPr>
        <w:drawing>
          <wp:anchor distT="0" distB="0" distL="114300" distR="114300" simplePos="0" relativeHeight="251658240" behindDoc="1" locked="0" layoutInCell="1" allowOverlap="1" wp14:anchorId="497C57BE" wp14:editId="3A658ACD">
            <wp:simplePos x="0" y="0"/>
            <wp:positionH relativeFrom="column">
              <wp:posOffset>-180975</wp:posOffset>
            </wp:positionH>
            <wp:positionV relativeFrom="paragraph">
              <wp:posOffset>1116330</wp:posOffset>
            </wp:positionV>
            <wp:extent cx="6294120" cy="3136265"/>
            <wp:effectExtent l="0" t="0" r="17780" b="13335"/>
            <wp:wrapTight wrapText="bothSides">
              <wp:wrapPolygon edited="0">
                <wp:start x="0" y="0"/>
                <wp:lineTo x="0" y="21604"/>
                <wp:lineTo x="21617" y="21604"/>
                <wp:lineTo x="21617" y="0"/>
                <wp:lineTo x="0" y="0"/>
              </wp:wrapPolygon>
            </wp:wrapTight>
            <wp:docPr id="1" name="Chart 1">
              <a:extLst xmlns:a="http://schemas.openxmlformats.org/drawingml/2006/main">
                <a:ext uri="{FF2B5EF4-FFF2-40B4-BE49-F238E27FC236}">
                  <a16:creationId xmlns:a16="http://schemas.microsoft.com/office/drawing/2014/main" id="{DBB5557E-2BB4-0948-9D1C-0942F86B1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9D13C7">
        <w:rPr>
          <w:rFonts w:eastAsiaTheme="minorEastAsia"/>
        </w:rPr>
        <w:tab/>
        <w:t>As mentioned earlier</w:t>
      </w:r>
      <w:r>
        <w:rPr>
          <w:rFonts w:eastAsiaTheme="minorEastAsia"/>
        </w:rPr>
        <w:t xml:space="preserve">, </w:t>
      </w:r>
      <w:r w:rsidRPr="009D13C7">
        <w:rPr>
          <w:rFonts w:eastAsiaTheme="minorEastAsia"/>
          <w:b/>
          <w:bCs/>
        </w:rPr>
        <w:t>Figure 1</w:t>
      </w:r>
      <w:r>
        <w:rPr>
          <w:rFonts w:eastAsiaTheme="minorEastAsia"/>
          <w:b/>
          <w:bCs/>
        </w:rPr>
        <w:t xml:space="preserve"> </w:t>
      </w:r>
      <w:r>
        <w:rPr>
          <w:rFonts w:eastAsiaTheme="minorEastAsia"/>
        </w:rPr>
        <w:t>show</w:t>
      </w:r>
      <w:r w:rsidR="009244EB">
        <w:rPr>
          <w:rFonts w:eastAsiaTheme="minorEastAsia"/>
        </w:rPr>
        <w:t>ed</w:t>
      </w:r>
      <w:r>
        <w:rPr>
          <w:rFonts w:eastAsiaTheme="minorEastAsia"/>
        </w:rPr>
        <w:t xml:space="preserve"> that ORED increased by 44.19 more from before Medicaid expansion to after expansion in expansion States vs non-expansion States. </w:t>
      </w:r>
      <w:r w:rsidRPr="009D13C7">
        <w:rPr>
          <w:rFonts w:eastAsiaTheme="minorEastAsia"/>
          <w:b/>
          <w:bCs/>
        </w:rPr>
        <w:t>Figure 2</w:t>
      </w:r>
      <w:r>
        <w:rPr>
          <w:rFonts w:eastAsiaTheme="minorEastAsia"/>
        </w:rPr>
        <w:t xml:space="preserve"> shows these changes from a year to year perspective. </w:t>
      </w:r>
    </w:p>
    <w:p w14:paraId="4B882CF1" w14:textId="3FECA45D" w:rsidR="009D13C7" w:rsidRPr="006A4749" w:rsidRDefault="009D13C7" w:rsidP="006A4749">
      <w:pPr>
        <w:rPr>
          <w:rFonts w:eastAsiaTheme="minorEastAsia"/>
        </w:rPr>
      </w:pPr>
      <w:r w:rsidRPr="006A4749">
        <w:rPr>
          <w:rFonts w:eastAsiaTheme="minorEastAsia"/>
          <w:b/>
          <w:bCs/>
          <w:sz w:val="20"/>
          <w:szCs w:val="20"/>
        </w:rPr>
        <w:t>Figure 2.</w:t>
      </w:r>
      <w:r w:rsidRPr="006A4749">
        <w:rPr>
          <w:rFonts w:eastAsiaTheme="minorEastAsia"/>
          <w:sz w:val="20"/>
          <w:szCs w:val="20"/>
        </w:rPr>
        <w:t xml:space="preserve"> A graph of opioid related emergency department visits (ORED) over time. The blue data points represent Medicaid Expansion States. The orange data points represent </w:t>
      </w:r>
      <w:r w:rsidR="006A4749" w:rsidRPr="006A4749">
        <w:rPr>
          <w:rFonts w:eastAsiaTheme="minorEastAsia"/>
          <w:sz w:val="20"/>
          <w:szCs w:val="20"/>
        </w:rPr>
        <w:t>States that did not expand Medicaid.</w:t>
      </w:r>
    </w:p>
    <w:p w14:paraId="40717E0E" w14:textId="19E18117" w:rsidR="0051463E" w:rsidRDefault="0051463E" w:rsidP="0051463E">
      <w:pPr>
        <w:rPr>
          <w:rFonts w:eastAsiaTheme="minorEastAsia"/>
        </w:rPr>
      </w:pPr>
    </w:p>
    <w:p w14:paraId="7B22026A" w14:textId="31A2A7DD" w:rsidR="0051463E" w:rsidRDefault="0051463E" w:rsidP="009F6028">
      <w:pPr>
        <w:spacing w:line="480" w:lineRule="auto"/>
        <w:jc w:val="both"/>
        <w:rPr>
          <w:rFonts w:eastAsiaTheme="minorEastAsia"/>
        </w:rPr>
      </w:pPr>
      <w:r>
        <w:rPr>
          <w:rFonts w:eastAsiaTheme="minorEastAsia"/>
        </w:rPr>
        <w:t xml:space="preserve">A key assumption in my difference in differences regression is that there are no trend differences between Expansion States and non-expansion States before Medicaid Expansion took effect in 2014. </w:t>
      </w:r>
      <w:r w:rsidR="006F1E80">
        <w:rPr>
          <w:rFonts w:eastAsiaTheme="minorEastAsia"/>
        </w:rPr>
        <w:t xml:space="preserve">Figure 2 shows that the pre-Medicaid expansion trends for both groups of States appear to be similar, thus verifying the assumption that there are no pre-trend differences. </w:t>
      </w:r>
      <w:r w:rsidR="009A037C">
        <w:rPr>
          <w:rFonts w:eastAsiaTheme="minorEastAsia"/>
        </w:rPr>
        <w:t xml:space="preserve">Due to time constraints, I was not able to run a pre-trend analysis to confirm that there were no significant differences between both groups of States before 2014. </w:t>
      </w:r>
      <w:r w:rsidR="000607A9">
        <w:rPr>
          <w:rFonts w:eastAsiaTheme="minorEastAsia"/>
        </w:rPr>
        <w:t xml:space="preserve">However, </w:t>
      </w:r>
      <w:r w:rsidR="00B31D94">
        <w:rPr>
          <w:rFonts w:eastAsiaTheme="minorEastAsia"/>
        </w:rPr>
        <w:t>if I were to run a pre-trend analysis, I would use a difference in differences model similar to</w:t>
      </w:r>
      <w:r w:rsidR="00837F7B">
        <w:rPr>
          <w:rFonts w:eastAsiaTheme="minorEastAsia"/>
        </w:rPr>
        <w:t xml:space="preserve"> the</w:t>
      </w:r>
      <w:r w:rsidR="00B31D94">
        <w:rPr>
          <w:rFonts w:eastAsiaTheme="minorEastAsia"/>
        </w:rPr>
        <w:t xml:space="preserve"> current model. Instead of looking at data from 2008 – 2016, I would narrow my data to 2008 – 2013. I would use a midway </w:t>
      </w:r>
      <w:r w:rsidR="00B31D94">
        <w:rPr>
          <w:rFonts w:eastAsiaTheme="minorEastAsia"/>
        </w:rPr>
        <w:lastRenderedPageBreak/>
        <w:t>point, such as 2011, to be my “treatment” year. I could then use this regression to determine if the change from 2008 to 2013 for Medicaid expansion States was significantly different from the 2008 – 2013 change for non-expansion States.</w:t>
      </w:r>
    </w:p>
    <w:p w14:paraId="5BA091D4" w14:textId="77777777" w:rsidR="008E11ED" w:rsidRDefault="008E11ED" w:rsidP="009F6028">
      <w:pPr>
        <w:spacing w:line="480" w:lineRule="auto"/>
        <w:jc w:val="both"/>
        <w:rPr>
          <w:rFonts w:eastAsiaTheme="minorEastAsia"/>
        </w:rPr>
      </w:pPr>
    </w:p>
    <w:p w14:paraId="104BAB77" w14:textId="223D590B" w:rsidR="00B31D94" w:rsidRPr="00886921" w:rsidRDefault="00886921" w:rsidP="00B31D94">
      <w:pPr>
        <w:spacing w:line="480" w:lineRule="auto"/>
        <w:rPr>
          <w:rFonts w:eastAsiaTheme="minorEastAsia"/>
          <w:b/>
          <w:bCs/>
          <w:sz w:val="36"/>
          <w:szCs w:val="36"/>
        </w:rPr>
      </w:pPr>
      <w:r>
        <w:rPr>
          <w:rFonts w:eastAsiaTheme="minorEastAsia"/>
          <w:b/>
          <w:bCs/>
          <w:sz w:val="36"/>
          <w:szCs w:val="36"/>
        </w:rPr>
        <w:t xml:space="preserve">6   </w:t>
      </w:r>
      <w:r w:rsidR="00B31D94" w:rsidRPr="00886921">
        <w:rPr>
          <w:rFonts w:eastAsiaTheme="minorEastAsia"/>
          <w:b/>
          <w:bCs/>
          <w:sz w:val="36"/>
          <w:szCs w:val="36"/>
        </w:rPr>
        <w:t>Results</w:t>
      </w:r>
    </w:p>
    <w:p w14:paraId="7FFA7455" w14:textId="08CC47AB" w:rsidR="00653B32" w:rsidRDefault="00653B32" w:rsidP="009F6028">
      <w:pPr>
        <w:spacing w:line="480" w:lineRule="auto"/>
        <w:ind w:firstLine="720"/>
        <w:jc w:val="both"/>
        <w:rPr>
          <w:rFonts w:eastAsiaTheme="minorEastAsia"/>
        </w:rPr>
      </w:pPr>
      <w:r>
        <w:rPr>
          <w:rFonts w:eastAsiaTheme="minorEastAsia"/>
        </w:rPr>
        <w:t>The following table is a summary of the results for my simplified regression</w:t>
      </w:r>
      <w:r w:rsidR="00E5488C">
        <w:rPr>
          <w:rFonts w:eastAsiaTheme="minorEastAsia"/>
        </w:rPr>
        <w:t xml:space="preserve"> </w:t>
      </w:r>
      <w:r>
        <w:rPr>
          <w:rFonts w:eastAsiaTheme="minorEastAsia"/>
        </w:rPr>
        <w:t>and regression with fixed effects and controls (</w:t>
      </w:r>
      <w:r w:rsidRPr="00653B32">
        <w:rPr>
          <w:rFonts w:eastAsiaTheme="minorEastAsia"/>
          <w:b/>
          <w:bCs/>
        </w:rPr>
        <w:t>Figure 3</w:t>
      </w:r>
      <w:r>
        <w:rPr>
          <w:rFonts w:eastAsiaTheme="minorEastAsia"/>
        </w:rPr>
        <w:t>).</w:t>
      </w:r>
    </w:p>
    <w:tbl>
      <w:tblPr>
        <w:tblStyle w:val="TableGrid"/>
        <w:tblW w:w="9449" w:type="dxa"/>
        <w:tblLook w:val="04A0" w:firstRow="1" w:lastRow="0" w:firstColumn="1" w:lastColumn="0" w:noHBand="0" w:noVBand="1"/>
      </w:tblPr>
      <w:tblGrid>
        <w:gridCol w:w="3149"/>
        <w:gridCol w:w="3150"/>
        <w:gridCol w:w="3150"/>
      </w:tblGrid>
      <w:tr w:rsidR="00E91663" w14:paraId="0A1B50A0" w14:textId="77777777" w:rsidTr="00BF2AC9">
        <w:trPr>
          <w:trHeight w:val="704"/>
        </w:trPr>
        <w:tc>
          <w:tcPr>
            <w:tcW w:w="3149" w:type="dxa"/>
            <w:shd w:val="clear" w:color="auto" w:fill="1F3864" w:themeFill="accent1" w:themeFillShade="80"/>
            <w:vAlign w:val="center"/>
          </w:tcPr>
          <w:p w14:paraId="04D9BF72" w14:textId="009B286B" w:rsidR="00E91663" w:rsidRPr="00E07245" w:rsidRDefault="00E91663" w:rsidP="00BF2AC9">
            <w:pPr>
              <w:ind w:left="144"/>
              <w:jc w:val="center"/>
              <w:rPr>
                <w:rFonts w:eastAsiaTheme="minorEastAsia"/>
                <w:b/>
                <w:bCs/>
                <w:color w:val="FFFFFF" w:themeColor="background1"/>
              </w:rPr>
            </w:pPr>
            <w:r w:rsidRPr="00E07245">
              <w:rPr>
                <w:rFonts w:eastAsiaTheme="minorEastAsia"/>
                <w:b/>
                <w:bCs/>
                <w:color w:val="FFFFFF" w:themeColor="background1"/>
              </w:rPr>
              <w:t>Model</w:t>
            </w:r>
          </w:p>
        </w:tc>
        <w:tc>
          <w:tcPr>
            <w:tcW w:w="3150" w:type="dxa"/>
            <w:shd w:val="clear" w:color="auto" w:fill="1F3864" w:themeFill="accent1" w:themeFillShade="80"/>
            <w:vAlign w:val="center"/>
          </w:tcPr>
          <w:p w14:paraId="30923373" w14:textId="63F9DD6C" w:rsidR="00E91663" w:rsidRPr="00E07245" w:rsidRDefault="00E91663" w:rsidP="00BF2AC9">
            <w:pPr>
              <w:ind w:left="144"/>
              <w:jc w:val="center"/>
              <w:rPr>
                <w:rFonts w:eastAsiaTheme="minorEastAsia"/>
                <w:b/>
                <w:bCs/>
                <w:color w:val="FFFFFF" w:themeColor="background1"/>
              </w:rPr>
            </w:pPr>
            <w:r w:rsidRPr="00E07245">
              <w:rPr>
                <w:rFonts w:eastAsiaTheme="minorEastAsia"/>
                <w:b/>
                <w:bCs/>
                <w:color w:val="FFFFFF" w:themeColor="background1"/>
              </w:rPr>
              <w:t>Independent Variables</w:t>
            </w:r>
          </w:p>
        </w:tc>
        <w:tc>
          <w:tcPr>
            <w:tcW w:w="3150" w:type="dxa"/>
            <w:shd w:val="clear" w:color="auto" w:fill="1F3864" w:themeFill="accent1" w:themeFillShade="80"/>
            <w:vAlign w:val="center"/>
          </w:tcPr>
          <w:p w14:paraId="7CCBD377" w14:textId="77777777" w:rsidR="00E91663" w:rsidRPr="00E07245" w:rsidRDefault="00E91663" w:rsidP="00BF2AC9">
            <w:pPr>
              <w:ind w:left="144"/>
              <w:jc w:val="center"/>
              <w:rPr>
                <w:rFonts w:eastAsiaTheme="minorEastAsia"/>
                <w:b/>
                <w:bCs/>
                <w:color w:val="FFFFFF" w:themeColor="background1"/>
              </w:rPr>
            </w:pPr>
            <w:r w:rsidRPr="00E07245">
              <w:rPr>
                <w:rFonts w:eastAsiaTheme="minorEastAsia"/>
                <w:b/>
                <w:bCs/>
                <w:color w:val="FFFFFF" w:themeColor="background1"/>
              </w:rPr>
              <w:t>Dependent Variable</w:t>
            </w:r>
          </w:p>
          <w:p w14:paraId="73CC9274" w14:textId="16C191FC" w:rsidR="00E91663" w:rsidRPr="00E07245" w:rsidRDefault="00E91663" w:rsidP="00BF2AC9">
            <w:pPr>
              <w:ind w:left="144"/>
              <w:jc w:val="center"/>
              <w:rPr>
                <w:rFonts w:eastAsiaTheme="minorEastAsia"/>
                <w:b/>
                <w:bCs/>
                <w:color w:val="FFFFFF" w:themeColor="background1"/>
              </w:rPr>
            </w:pPr>
            <w:r w:rsidRPr="00E07245">
              <w:rPr>
                <w:rFonts w:eastAsiaTheme="minorEastAsia"/>
                <w:b/>
                <w:bCs/>
                <w:color w:val="FFFFFF" w:themeColor="background1"/>
              </w:rPr>
              <w:t>ORED Visits per 100k pop.</w:t>
            </w:r>
          </w:p>
        </w:tc>
      </w:tr>
      <w:tr w:rsidR="0069173D" w14:paraId="4F243437" w14:textId="77777777" w:rsidTr="00BF2AC9">
        <w:trPr>
          <w:trHeight w:val="684"/>
        </w:trPr>
        <w:tc>
          <w:tcPr>
            <w:tcW w:w="3149" w:type="dxa"/>
            <w:vMerge w:val="restart"/>
          </w:tcPr>
          <w:p w14:paraId="64A51B44" w14:textId="77777777" w:rsidR="0069173D" w:rsidRDefault="0069173D" w:rsidP="00E91663">
            <w:pPr>
              <w:ind w:left="144"/>
              <w:rPr>
                <w:rFonts w:eastAsiaTheme="minorEastAsia"/>
                <w:b/>
                <w:bCs/>
              </w:rPr>
            </w:pPr>
          </w:p>
          <w:p w14:paraId="4F963B5C" w14:textId="23328856" w:rsidR="0069173D" w:rsidRPr="00E07245" w:rsidRDefault="0069173D" w:rsidP="00E91663">
            <w:pPr>
              <w:ind w:left="144"/>
              <w:rPr>
                <w:rFonts w:eastAsiaTheme="minorEastAsia"/>
                <w:b/>
                <w:bCs/>
              </w:rPr>
            </w:pPr>
            <w:r w:rsidRPr="00E07245">
              <w:rPr>
                <w:rFonts w:eastAsiaTheme="minorEastAsia"/>
                <w:b/>
                <w:bCs/>
              </w:rPr>
              <w:t>Model 1</w:t>
            </w:r>
          </w:p>
          <w:p w14:paraId="51701F26" w14:textId="379F13C7" w:rsidR="0069173D" w:rsidRPr="00E07245" w:rsidRDefault="005E26C4" w:rsidP="00E91663">
            <w:pPr>
              <w:ind w:left="144"/>
              <w:rPr>
                <w:rFonts w:eastAsiaTheme="minorEastAsia" w:cs="Times New Roman (Body CS)"/>
                <w:i/>
              </w:rPr>
            </w:pPr>
            <w:r>
              <w:rPr>
                <w:rFonts w:eastAsiaTheme="minorEastAsia" w:cs="Times New Roman (Body CS)"/>
                <w:i/>
              </w:rPr>
              <w:t xml:space="preserve">Simple </w:t>
            </w:r>
            <w:r w:rsidR="0069173D" w:rsidRPr="00E07245">
              <w:rPr>
                <w:rFonts w:eastAsiaTheme="minorEastAsia" w:cs="Times New Roman (Body CS)"/>
                <w:i/>
              </w:rPr>
              <w:t>Difference in</w:t>
            </w:r>
          </w:p>
          <w:p w14:paraId="54F0AD91" w14:textId="6CC6905B" w:rsidR="0069173D" w:rsidRPr="00E07245" w:rsidRDefault="0069173D" w:rsidP="00E91663">
            <w:pPr>
              <w:ind w:left="144"/>
              <w:rPr>
                <w:rFonts w:eastAsiaTheme="minorEastAsia"/>
                <w:b/>
                <w:bCs/>
              </w:rPr>
            </w:pPr>
            <w:r w:rsidRPr="00E07245">
              <w:rPr>
                <w:rFonts w:eastAsiaTheme="minorEastAsia" w:cs="Times New Roman (Body CS)"/>
                <w:i/>
              </w:rPr>
              <w:t>Difference Model</w:t>
            </w:r>
          </w:p>
        </w:tc>
        <w:tc>
          <w:tcPr>
            <w:tcW w:w="3150" w:type="dxa"/>
            <w:vAlign w:val="center"/>
          </w:tcPr>
          <w:p w14:paraId="303F6A4B" w14:textId="27E95722" w:rsidR="0069173D" w:rsidRDefault="0069173D" w:rsidP="00BF2AC9">
            <w:pPr>
              <w:ind w:left="144"/>
              <w:jc w:val="center"/>
              <w:rPr>
                <w:rFonts w:eastAsiaTheme="minorEastAsia"/>
              </w:rPr>
            </w:pPr>
            <w:r>
              <w:rPr>
                <w:rFonts w:eastAsiaTheme="minorEastAsia"/>
              </w:rPr>
              <w:t>Expansion</w:t>
            </w:r>
          </w:p>
        </w:tc>
        <w:tc>
          <w:tcPr>
            <w:tcW w:w="3150" w:type="dxa"/>
            <w:vAlign w:val="center"/>
          </w:tcPr>
          <w:p w14:paraId="1D2A1B27" w14:textId="7DE4D293" w:rsidR="0069173D" w:rsidRDefault="0069173D" w:rsidP="00BF2AC9">
            <w:pPr>
              <w:ind w:left="144"/>
              <w:jc w:val="center"/>
              <w:rPr>
                <w:rFonts w:eastAsiaTheme="minorEastAsia"/>
              </w:rPr>
            </w:pPr>
            <w:r>
              <w:rPr>
                <w:rFonts w:eastAsiaTheme="minorEastAsia"/>
              </w:rPr>
              <w:t>42.09*</w:t>
            </w:r>
          </w:p>
          <w:p w14:paraId="0BDD9831" w14:textId="6B557976" w:rsidR="0069173D" w:rsidRDefault="0069173D" w:rsidP="00BF2AC9">
            <w:pPr>
              <w:ind w:left="144"/>
              <w:jc w:val="center"/>
              <w:rPr>
                <w:rFonts w:eastAsiaTheme="minorEastAsia"/>
              </w:rPr>
            </w:pPr>
            <w:r>
              <w:rPr>
                <w:rFonts w:eastAsiaTheme="minorEastAsia"/>
              </w:rPr>
              <w:t>(13.33)</w:t>
            </w:r>
          </w:p>
        </w:tc>
      </w:tr>
      <w:tr w:rsidR="0069173D" w14:paraId="5417B37E" w14:textId="77777777" w:rsidTr="00BF2AC9">
        <w:trPr>
          <w:trHeight w:val="725"/>
        </w:trPr>
        <w:tc>
          <w:tcPr>
            <w:tcW w:w="3149" w:type="dxa"/>
            <w:vMerge/>
          </w:tcPr>
          <w:p w14:paraId="3AF40676" w14:textId="4E989B9A" w:rsidR="0069173D" w:rsidRPr="00E07245" w:rsidRDefault="0069173D" w:rsidP="00E91663">
            <w:pPr>
              <w:ind w:left="144"/>
              <w:rPr>
                <w:rFonts w:eastAsiaTheme="minorEastAsia" w:cs="Times New Roman (Body CS)"/>
                <w:i/>
              </w:rPr>
            </w:pPr>
          </w:p>
        </w:tc>
        <w:tc>
          <w:tcPr>
            <w:tcW w:w="3150" w:type="dxa"/>
            <w:vAlign w:val="center"/>
          </w:tcPr>
          <w:p w14:paraId="3EA8A699" w14:textId="05F77E24" w:rsidR="0069173D" w:rsidRDefault="0069173D" w:rsidP="00BF2AC9">
            <w:pPr>
              <w:ind w:left="144"/>
              <w:jc w:val="center"/>
              <w:rPr>
                <w:rFonts w:eastAsiaTheme="minorEastAsia"/>
              </w:rPr>
            </w:pPr>
            <w:r>
              <w:rPr>
                <w:rFonts w:eastAsiaTheme="minorEastAsia"/>
              </w:rPr>
              <w:t>After 2014</w:t>
            </w:r>
          </w:p>
        </w:tc>
        <w:tc>
          <w:tcPr>
            <w:tcW w:w="3150" w:type="dxa"/>
            <w:vAlign w:val="center"/>
          </w:tcPr>
          <w:p w14:paraId="19927AE2" w14:textId="77777777" w:rsidR="0069173D" w:rsidRDefault="0069173D" w:rsidP="00BF2AC9">
            <w:pPr>
              <w:ind w:left="144"/>
              <w:jc w:val="center"/>
              <w:rPr>
                <w:rFonts w:eastAsiaTheme="minorEastAsia"/>
              </w:rPr>
            </w:pPr>
            <w:r>
              <w:rPr>
                <w:rFonts w:eastAsiaTheme="minorEastAsia"/>
              </w:rPr>
              <w:t>69.71*</w:t>
            </w:r>
          </w:p>
          <w:p w14:paraId="670C0B3B" w14:textId="39D6F017" w:rsidR="0069173D" w:rsidRDefault="0069173D" w:rsidP="00BF2AC9">
            <w:pPr>
              <w:ind w:left="144"/>
              <w:jc w:val="center"/>
              <w:rPr>
                <w:rFonts w:eastAsiaTheme="minorEastAsia"/>
              </w:rPr>
            </w:pPr>
            <w:r>
              <w:rPr>
                <w:rFonts w:eastAsiaTheme="minorEastAsia"/>
              </w:rPr>
              <w:t>(16.95)</w:t>
            </w:r>
          </w:p>
        </w:tc>
      </w:tr>
      <w:tr w:rsidR="0069173D" w14:paraId="285B8EB7" w14:textId="77777777" w:rsidTr="00BF2AC9">
        <w:trPr>
          <w:trHeight w:val="704"/>
        </w:trPr>
        <w:tc>
          <w:tcPr>
            <w:tcW w:w="3149" w:type="dxa"/>
            <w:vMerge/>
            <w:tcBorders>
              <w:bottom w:val="single" w:sz="18" w:space="0" w:color="auto"/>
            </w:tcBorders>
          </w:tcPr>
          <w:p w14:paraId="2C4DD98B" w14:textId="744CA2DF" w:rsidR="0069173D" w:rsidRPr="00E07245" w:rsidRDefault="0069173D" w:rsidP="00E91663">
            <w:pPr>
              <w:ind w:left="144"/>
              <w:rPr>
                <w:rFonts w:eastAsiaTheme="minorEastAsia" w:cs="Times New Roman (Body CS)"/>
                <w:i/>
              </w:rPr>
            </w:pPr>
          </w:p>
        </w:tc>
        <w:tc>
          <w:tcPr>
            <w:tcW w:w="3150" w:type="dxa"/>
            <w:tcBorders>
              <w:bottom w:val="single" w:sz="18" w:space="0" w:color="auto"/>
            </w:tcBorders>
            <w:vAlign w:val="center"/>
          </w:tcPr>
          <w:p w14:paraId="419F6B22" w14:textId="12D5020A" w:rsidR="0069173D" w:rsidRDefault="0069173D" w:rsidP="00BF2AC9">
            <w:pPr>
              <w:ind w:left="144"/>
              <w:jc w:val="center"/>
              <w:rPr>
                <w:rFonts w:eastAsiaTheme="minorEastAsia"/>
              </w:rPr>
            </w:pPr>
            <w:r>
              <w:rPr>
                <w:rFonts w:eastAsiaTheme="minorEastAsia"/>
              </w:rPr>
              <w:t>Expansion* after 2014</w:t>
            </w:r>
          </w:p>
        </w:tc>
        <w:tc>
          <w:tcPr>
            <w:tcW w:w="3150" w:type="dxa"/>
            <w:tcBorders>
              <w:bottom w:val="single" w:sz="18" w:space="0" w:color="auto"/>
            </w:tcBorders>
            <w:vAlign w:val="center"/>
          </w:tcPr>
          <w:p w14:paraId="2539A6BF" w14:textId="77777777" w:rsidR="0069173D" w:rsidRDefault="0069173D" w:rsidP="00BF2AC9">
            <w:pPr>
              <w:ind w:left="144"/>
              <w:jc w:val="center"/>
              <w:rPr>
                <w:rFonts w:eastAsiaTheme="minorEastAsia"/>
              </w:rPr>
            </w:pPr>
            <w:r>
              <w:rPr>
                <w:rFonts w:eastAsiaTheme="minorEastAsia"/>
              </w:rPr>
              <w:t>44.19</w:t>
            </w:r>
          </w:p>
          <w:p w14:paraId="1BDDD5B0" w14:textId="28BB5017" w:rsidR="0069173D" w:rsidRDefault="0069173D" w:rsidP="00BF2AC9">
            <w:pPr>
              <w:ind w:left="144"/>
              <w:jc w:val="center"/>
              <w:rPr>
                <w:rFonts w:eastAsiaTheme="minorEastAsia"/>
              </w:rPr>
            </w:pPr>
            <w:r>
              <w:rPr>
                <w:rFonts w:eastAsiaTheme="minorEastAsia"/>
              </w:rPr>
              <w:t>(23.10)</w:t>
            </w:r>
          </w:p>
        </w:tc>
      </w:tr>
      <w:tr w:rsidR="0069173D" w14:paraId="279C49C2" w14:textId="77777777" w:rsidTr="00BF2AC9">
        <w:trPr>
          <w:trHeight w:val="704"/>
        </w:trPr>
        <w:tc>
          <w:tcPr>
            <w:tcW w:w="3149" w:type="dxa"/>
            <w:vMerge w:val="restart"/>
            <w:tcBorders>
              <w:top w:val="single" w:sz="18" w:space="0" w:color="auto"/>
            </w:tcBorders>
          </w:tcPr>
          <w:p w14:paraId="6D81FBAF" w14:textId="77777777" w:rsidR="0069173D" w:rsidRDefault="0069173D" w:rsidP="00E91663">
            <w:pPr>
              <w:ind w:left="144"/>
              <w:rPr>
                <w:rFonts w:eastAsiaTheme="minorEastAsia"/>
                <w:b/>
                <w:bCs/>
              </w:rPr>
            </w:pPr>
          </w:p>
          <w:p w14:paraId="5E57E2AE" w14:textId="2D13D93E" w:rsidR="0069173D" w:rsidRPr="00E07245" w:rsidRDefault="0069173D" w:rsidP="00E91663">
            <w:pPr>
              <w:ind w:left="144"/>
              <w:rPr>
                <w:rFonts w:eastAsiaTheme="minorEastAsia"/>
                <w:b/>
                <w:bCs/>
              </w:rPr>
            </w:pPr>
            <w:r w:rsidRPr="00E07245">
              <w:rPr>
                <w:rFonts w:eastAsiaTheme="minorEastAsia"/>
                <w:b/>
                <w:bCs/>
              </w:rPr>
              <w:t>Model 2</w:t>
            </w:r>
          </w:p>
          <w:p w14:paraId="6CA003D3" w14:textId="79B7E25E" w:rsidR="0069173D" w:rsidRPr="00E07245" w:rsidRDefault="0069173D" w:rsidP="00E91663">
            <w:pPr>
              <w:ind w:left="144"/>
              <w:rPr>
                <w:rFonts w:eastAsiaTheme="minorEastAsia" w:cs="Times New Roman (Body CS)"/>
                <w:i/>
              </w:rPr>
            </w:pPr>
            <w:r w:rsidRPr="00E07245">
              <w:rPr>
                <w:rFonts w:eastAsiaTheme="minorEastAsia" w:cs="Times New Roman (Body CS)"/>
                <w:i/>
              </w:rPr>
              <w:t>Difference</w:t>
            </w:r>
            <w:r w:rsidR="005E26C4">
              <w:rPr>
                <w:rFonts w:eastAsiaTheme="minorEastAsia" w:cs="Times New Roman (Body CS)"/>
                <w:i/>
              </w:rPr>
              <w:t xml:space="preserve"> in Difference</w:t>
            </w:r>
            <w:r w:rsidRPr="00E07245">
              <w:rPr>
                <w:rFonts w:eastAsiaTheme="minorEastAsia" w:cs="Times New Roman (Body CS)"/>
                <w:i/>
              </w:rPr>
              <w:t xml:space="preserve"> Model</w:t>
            </w:r>
          </w:p>
          <w:p w14:paraId="51BFB4F4" w14:textId="77777777" w:rsidR="0069173D" w:rsidRPr="00E07245" w:rsidRDefault="0069173D" w:rsidP="00E91663">
            <w:pPr>
              <w:ind w:left="144"/>
              <w:rPr>
                <w:rFonts w:eastAsiaTheme="minorEastAsia" w:cs="Times New Roman (Body CS)"/>
                <w:i/>
              </w:rPr>
            </w:pPr>
            <w:r w:rsidRPr="00E07245">
              <w:rPr>
                <w:rFonts w:eastAsiaTheme="minorEastAsia" w:cs="Times New Roman (Body CS)"/>
                <w:i/>
              </w:rPr>
              <w:t>w/ added Fixed Effects</w:t>
            </w:r>
          </w:p>
          <w:p w14:paraId="5B7ECAC9" w14:textId="428DE5DC" w:rsidR="0069173D" w:rsidRPr="00E07245" w:rsidRDefault="0069173D" w:rsidP="00E91663">
            <w:pPr>
              <w:ind w:left="144"/>
              <w:rPr>
                <w:rFonts w:eastAsiaTheme="minorEastAsia"/>
                <w:b/>
                <w:bCs/>
              </w:rPr>
            </w:pPr>
            <w:r w:rsidRPr="00E07245">
              <w:rPr>
                <w:rFonts w:eastAsiaTheme="minorEastAsia" w:cs="Times New Roman (Body CS)"/>
                <w:i/>
              </w:rPr>
              <w:t>&amp; Control Variables</w:t>
            </w:r>
          </w:p>
        </w:tc>
        <w:tc>
          <w:tcPr>
            <w:tcW w:w="3150" w:type="dxa"/>
            <w:tcBorders>
              <w:top w:val="single" w:sz="18" w:space="0" w:color="auto"/>
              <w:bottom w:val="single" w:sz="4" w:space="0" w:color="auto"/>
            </w:tcBorders>
            <w:vAlign w:val="center"/>
          </w:tcPr>
          <w:p w14:paraId="2A3665BA" w14:textId="078E58A4" w:rsidR="0069173D" w:rsidRDefault="0069173D" w:rsidP="00BF2AC9">
            <w:pPr>
              <w:ind w:left="144"/>
              <w:jc w:val="center"/>
              <w:rPr>
                <w:rFonts w:eastAsiaTheme="minorEastAsia"/>
              </w:rPr>
            </w:pPr>
            <w:r>
              <w:rPr>
                <w:rFonts w:eastAsiaTheme="minorEastAsia"/>
              </w:rPr>
              <w:t>Expansion* after 2014</w:t>
            </w:r>
          </w:p>
        </w:tc>
        <w:tc>
          <w:tcPr>
            <w:tcW w:w="3150" w:type="dxa"/>
            <w:tcBorders>
              <w:top w:val="single" w:sz="18" w:space="0" w:color="auto"/>
              <w:bottom w:val="single" w:sz="4" w:space="0" w:color="auto"/>
            </w:tcBorders>
            <w:vAlign w:val="center"/>
          </w:tcPr>
          <w:p w14:paraId="3ABE4F33" w14:textId="77777777" w:rsidR="0069173D" w:rsidRDefault="0069173D" w:rsidP="00BF2AC9">
            <w:pPr>
              <w:ind w:left="144"/>
              <w:jc w:val="center"/>
              <w:rPr>
                <w:rFonts w:eastAsiaTheme="minorEastAsia"/>
              </w:rPr>
            </w:pPr>
            <w:r>
              <w:rPr>
                <w:rFonts w:eastAsiaTheme="minorEastAsia"/>
              </w:rPr>
              <w:t>43.27*</w:t>
            </w:r>
          </w:p>
          <w:p w14:paraId="03E948D8" w14:textId="30340857" w:rsidR="0069173D" w:rsidRDefault="0069173D" w:rsidP="00BF2AC9">
            <w:pPr>
              <w:ind w:left="144"/>
              <w:jc w:val="center"/>
              <w:rPr>
                <w:rFonts w:eastAsiaTheme="minorEastAsia"/>
              </w:rPr>
            </w:pPr>
            <w:r>
              <w:rPr>
                <w:rFonts w:eastAsiaTheme="minorEastAsia"/>
              </w:rPr>
              <w:t>(8.70)</w:t>
            </w:r>
          </w:p>
        </w:tc>
      </w:tr>
      <w:tr w:rsidR="0069173D" w14:paraId="30017E21" w14:textId="77777777" w:rsidTr="00BF2AC9">
        <w:trPr>
          <w:trHeight w:val="725"/>
        </w:trPr>
        <w:tc>
          <w:tcPr>
            <w:tcW w:w="3149" w:type="dxa"/>
            <w:vMerge/>
          </w:tcPr>
          <w:p w14:paraId="31C64F4D" w14:textId="38382E60" w:rsidR="0069173D" w:rsidRPr="00E07245" w:rsidRDefault="0069173D" w:rsidP="00E91663">
            <w:pPr>
              <w:ind w:left="144"/>
              <w:rPr>
                <w:rFonts w:eastAsiaTheme="minorEastAsia" w:cs="Times New Roman (Body CS)"/>
                <w:i/>
              </w:rPr>
            </w:pPr>
          </w:p>
        </w:tc>
        <w:tc>
          <w:tcPr>
            <w:tcW w:w="3150" w:type="dxa"/>
            <w:tcBorders>
              <w:top w:val="single" w:sz="4" w:space="0" w:color="auto"/>
            </w:tcBorders>
            <w:vAlign w:val="center"/>
          </w:tcPr>
          <w:p w14:paraId="1FDCFCD0" w14:textId="5F64A0B6" w:rsidR="0069173D" w:rsidRDefault="0069173D" w:rsidP="00BF2AC9">
            <w:pPr>
              <w:ind w:left="144"/>
              <w:jc w:val="center"/>
              <w:rPr>
                <w:rFonts w:eastAsiaTheme="minorEastAsia"/>
              </w:rPr>
            </w:pPr>
            <w:r>
              <w:rPr>
                <w:rFonts w:eastAsiaTheme="minorEastAsia"/>
              </w:rPr>
              <w:t>GDPpc</w:t>
            </w:r>
          </w:p>
        </w:tc>
        <w:tc>
          <w:tcPr>
            <w:tcW w:w="3150" w:type="dxa"/>
            <w:tcBorders>
              <w:top w:val="single" w:sz="4" w:space="0" w:color="auto"/>
            </w:tcBorders>
            <w:vAlign w:val="center"/>
          </w:tcPr>
          <w:p w14:paraId="419B95CB" w14:textId="77777777" w:rsidR="0069173D" w:rsidRDefault="0069173D" w:rsidP="00BF2AC9">
            <w:pPr>
              <w:ind w:left="144"/>
              <w:jc w:val="center"/>
              <w:rPr>
                <w:rFonts w:eastAsiaTheme="minorEastAsia"/>
              </w:rPr>
            </w:pPr>
            <w:r>
              <w:rPr>
                <w:rFonts w:eastAsiaTheme="minorEastAsia"/>
              </w:rPr>
              <w:t>0.00</w:t>
            </w:r>
          </w:p>
          <w:p w14:paraId="7BDB881B" w14:textId="7C9E35F9" w:rsidR="0069173D" w:rsidRDefault="0069173D" w:rsidP="00BF2AC9">
            <w:pPr>
              <w:ind w:left="144"/>
              <w:jc w:val="center"/>
              <w:rPr>
                <w:rFonts w:eastAsiaTheme="minorEastAsia"/>
              </w:rPr>
            </w:pPr>
            <w:r>
              <w:rPr>
                <w:rFonts w:eastAsiaTheme="minorEastAsia"/>
              </w:rPr>
              <w:t>(0.002)</w:t>
            </w:r>
          </w:p>
        </w:tc>
      </w:tr>
      <w:tr w:rsidR="0069173D" w14:paraId="367B6D5E" w14:textId="77777777" w:rsidTr="00BF2AC9">
        <w:trPr>
          <w:trHeight w:val="704"/>
        </w:trPr>
        <w:tc>
          <w:tcPr>
            <w:tcW w:w="3149" w:type="dxa"/>
            <w:vMerge/>
          </w:tcPr>
          <w:p w14:paraId="44507774" w14:textId="02C02942" w:rsidR="0069173D" w:rsidRPr="00E07245" w:rsidRDefault="0069173D" w:rsidP="00E91663">
            <w:pPr>
              <w:ind w:left="144"/>
              <w:rPr>
                <w:rFonts w:eastAsiaTheme="minorEastAsia" w:cs="Times New Roman (Body CS)"/>
                <w:i/>
              </w:rPr>
            </w:pPr>
          </w:p>
        </w:tc>
        <w:tc>
          <w:tcPr>
            <w:tcW w:w="3150" w:type="dxa"/>
            <w:vAlign w:val="center"/>
          </w:tcPr>
          <w:p w14:paraId="5E037135" w14:textId="43D89FF7" w:rsidR="0069173D" w:rsidRDefault="0069173D" w:rsidP="00BF2AC9">
            <w:pPr>
              <w:ind w:left="144"/>
              <w:jc w:val="center"/>
              <w:rPr>
                <w:rFonts w:eastAsiaTheme="minorEastAsia"/>
              </w:rPr>
            </w:pPr>
            <w:r>
              <w:rPr>
                <w:rFonts w:eastAsiaTheme="minorEastAsia"/>
              </w:rPr>
              <w:t>Median Hourly Wage</w:t>
            </w:r>
          </w:p>
        </w:tc>
        <w:tc>
          <w:tcPr>
            <w:tcW w:w="3150" w:type="dxa"/>
            <w:vAlign w:val="center"/>
          </w:tcPr>
          <w:p w14:paraId="4428D36C" w14:textId="77777777" w:rsidR="0069173D" w:rsidRDefault="0069173D" w:rsidP="00BF2AC9">
            <w:pPr>
              <w:ind w:left="144"/>
              <w:jc w:val="center"/>
              <w:rPr>
                <w:rFonts w:eastAsiaTheme="minorEastAsia"/>
              </w:rPr>
            </w:pPr>
            <w:r>
              <w:rPr>
                <w:rFonts w:eastAsiaTheme="minorEastAsia"/>
              </w:rPr>
              <w:t>13.06</w:t>
            </w:r>
          </w:p>
          <w:p w14:paraId="451AF6D0" w14:textId="1105090D" w:rsidR="0069173D" w:rsidRDefault="0069173D" w:rsidP="00BF2AC9">
            <w:pPr>
              <w:ind w:left="144"/>
              <w:jc w:val="center"/>
              <w:rPr>
                <w:rFonts w:eastAsiaTheme="minorEastAsia"/>
              </w:rPr>
            </w:pPr>
            <w:r>
              <w:rPr>
                <w:rFonts w:eastAsiaTheme="minorEastAsia"/>
              </w:rPr>
              <w:t>(13.05)</w:t>
            </w:r>
          </w:p>
        </w:tc>
      </w:tr>
      <w:tr w:rsidR="0069173D" w14:paraId="79FECADC" w14:textId="77777777" w:rsidTr="00BF2AC9">
        <w:trPr>
          <w:trHeight w:val="704"/>
        </w:trPr>
        <w:tc>
          <w:tcPr>
            <w:tcW w:w="3149" w:type="dxa"/>
            <w:vMerge/>
          </w:tcPr>
          <w:p w14:paraId="381F86E4" w14:textId="5F0D7778" w:rsidR="0069173D" w:rsidRPr="00E07245" w:rsidRDefault="0069173D" w:rsidP="00E91663">
            <w:pPr>
              <w:ind w:left="144"/>
              <w:rPr>
                <w:rFonts w:eastAsiaTheme="minorEastAsia" w:cs="Times New Roman (Body CS)"/>
                <w:i/>
              </w:rPr>
            </w:pPr>
          </w:p>
        </w:tc>
        <w:tc>
          <w:tcPr>
            <w:tcW w:w="3150" w:type="dxa"/>
            <w:vAlign w:val="center"/>
          </w:tcPr>
          <w:p w14:paraId="2C86A734" w14:textId="670BA664" w:rsidR="0069173D" w:rsidRDefault="0069173D" w:rsidP="00BF2AC9">
            <w:pPr>
              <w:ind w:left="144"/>
              <w:jc w:val="center"/>
              <w:rPr>
                <w:rFonts w:eastAsiaTheme="minorEastAsia"/>
              </w:rPr>
            </w:pPr>
            <w:r>
              <w:rPr>
                <w:rFonts w:eastAsiaTheme="minorEastAsia"/>
              </w:rPr>
              <w:t>Unemployment</w:t>
            </w:r>
          </w:p>
        </w:tc>
        <w:tc>
          <w:tcPr>
            <w:tcW w:w="3150" w:type="dxa"/>
            <w:vAlign w:val="center"/>
          </w:tcPr>
          <w:p w14:paraId="38E5BAB2" w14:textId="77777777" w:rsidR="0069173D" w:rsidRDefault="0069173D" w:rsidP="00BF2AC9">
            <w:pPr>
              <w:ind w:left="144"/>
              <w:jc w:val="center"/>
              <w:rPr>
                <w:rFonts w:eastAsiaTheme="minorEastAsia"/>
              </w:rPr>
            </w:pPr>
            <w:r>
              <w:rPr>
                <w:rFonts w:eastAsiaTheme="minorEastAsia"/>
              </w:rPr>
              <w:t>-11.62*</w:t>
            </w:r>
          </w:p>
          <w:p w14:paraId="44C94F94" w14:textId="4E6F5893" w:rsidR="0069173D" w:rsidRDefault="0069173D" w:rsidP="00BF2AC9">
            <w:pPr>
              <w:ind w:left="144"/>
              <w:jc w:val="center"/>
              <w:rPr>
                <w:rFonts w:eastAsiaTheme="minorEastAsia"/>
              </w:rPr>
            </w:pPr>
            <w:r>
              <w:rPr>
                <w:rFonts w:eastAsiaTheme="minorEastAsia"/>
              </w:rPr>
              <w:t>(3.67)</w:t>
            </w:r>
          </w:p>
        </w:tc>
      </w:tr>
    </w:tbl>
    <w:p w14:paraId="504A6395" w14:textId="01109F85" w:rsidR="003B67F8" w:rsidRDefault="00653B32" w:rsidP="003B67F8">
      <w:pPr>
        <w:rPr>
          <w:rFonts w:eastAsiaTheme="minorEastAsia"/>
          <w:b/>
          <w:bCs/>
          <w:sz w:val="20"/>
          <w:szCs w:val="20"/>
        </w:rPr>
      </w:pPr>
      <w:r w:rsidRPr="00653B32">
        <w:rPr>
          <w:rFonts w:eastAsiaTheme="minorEastAsia"/>
          <w:b/>
          <w:bCs/>
          <w:sz w:val="20"/>
          <w:szCs w:val="20"/>
        </w:rPr>
        <w:t xml:space="preserve">Figure 3. A summary table of regression results. Model 1 represents simplified difference in differences model with no controls. Model 2 represents a difference in differences model with added fixed effects and controls. </w:t>
      </w:r>
      <w:r w:rsidR="00400990">
        <w:rPr>
          <w:rFonts w:eastAsiaTheme="minorEastAsia"/>
          <w:b/>
          <w:bCs/>
          <w:sz w:val="20"/>
          <w:szCs w:val="20"/>
        </w:rPr>
        <w:t xml:space="preserve">     </w:t>
      </w:r>
      <w:r w:rsidRPr="00400990">
        <w:rPr>
          <w:rFonts w:eastAsiaTheme="minorEastAsia"/>
          <w:b/>
          <w:bCs/>
        </w:rPr>
        <w:t>*</w:t>
      </w:r>
      <w:r w:rsidRPr="00653B32">
        <w:rPr>
          <w:rFonts w:eastAsiaTheme="minorEastAsia"/>
          <w:b/>
          <w:bCs/>
          <w:sz w:val="20"/>
          <w:szCs w:val="20"/>
        </w:rPr>
        <w:t xml:space="preserve"> indicates statistical significance at the .05 level. </w:t>
      </w:r>
      <w:r w:rsidR="003B67F8">
        <w:rPr>
          <w:rFonts w:eastAsiaTheme="minorEastAsia"/>
          <w:b/>
          <w:bCs/>
          <w:sz w:val="20"/>
          <w:szCs w:val="20"/>
        </w:rPr>
        <w:t xml:space="preserve">Standard errors are in parentheses. </w:t>
      </w:r>
    </w:p>
    <w:p w14:paraId="03931F58" w14:textId="45DFE26E" w:rsidR="003B67F8" w:rsidRDefault="003B67F8" w:rsidP="003B67F8">
      <w:pPr>
        <w:rPr>
          <w:rFonts w:eastAsiaTheme="minorEastAsia"/>
        </w:rPr>
      </w:pPr>
    </w:p>
    <w:p w14:paraId="38FE6696" w14:textId="77777777" w:rsidR="00CA50A9" w:rsidRDefault="00CA50A9" w:rsidP="003B67F8">
      <w:pPr>
        <w:rPr>
          <w:rFonts w:eastAsiaTheme="minorEastAsia"/>
        </w:rPr>
      </w:pPr>
    </w:p>
    <w:p w14:paraId="5A9A7E32" w14:textId="77777777" w:rsidR="003B67F8" w:rsidRDefault="00E5488C" w:rsidP="00CA50A9">
      <w:pPr>
        <w:jc w:val="both"/>
        <w:rPr>
          <w:rFonts w:eastAsiaTheme="minorEastAsia"/>
        </w:rPr>
      </w:pPr>
      <w:r>
        <w:rPr>
          <w:rFonts w:eastAsiaTheme="minorEastAsia"/>
        </w:rPr>
        <w:t>Model 1 corresponds to regression 1 discussed in the methodology section of the paper, while</w:t>
      </w:r>
    </w:p>
    <w:p w14:paraId="2AAE7FB8" w14:textId="77777777" w:rsidR="003B67F8" w:rsidRDefault="003B67F8" w:rsidP="003B67F8">
      <w:pPr>
        <w:rPr>
          <w:rFonts w:eastAsiaTheme="minorEastAsia"/>
        </w:rPr>
      </w:pPr>
    </w:p>
    <w:p w14:paraId="0174794F" w14:textId="0D1C66DC" w:rsidR="00E5488C" w:rsidRDefault="00E5488C" w:rsidP="003B67F8">
      <w:pPr>
        <w:rPr>
          <w:rFonts w:eastAsiaTheme="minorEastAsia"/>
        </w:rPr>
      </w:pPr>
      <w:r>
        <w:rPr>
          <w:rFonts w:eastAsiaTheme="minorEastAsia"/>
        </w:rPr>
        <w:t xml:space="preserve">model 2 corresponds to regression 2. </w:t>
      </w:r>
    </w:p>
    <w:p w14:paraId="15A2AE9C" w14:textId="1D11625A" w:rsidR="003B67F8" w:rsidRDefault="003B67F8" w:rsidP="003B67F8">
      <w:pPr>
        <w:rPr>
          <w:rFonts w:eastAsiaTheme="minorEastAsia"/>
        </w:rPr>
      </w:pPr>
    </w:p>
    <w:p w14:paraId="57439C14" w14:textId="12B24D0E" w:rsidR="003B67F8" w:rsidRDefault="003B67F8" w:rsidP="009F6028">
      <w:pPr>
        <w:jc w:val="both"/>
        <w:rPr>
          <w:rFonts w:eastAsiaTheme="minorEastAsia"/>
        </w:rPr>
      </w:pPr>
      <w:r>
        <w:rPr>
          <w:rFonts w:eastAsiaTheme="minorEastAsia"/>
        </w:rPr>
        <w:lastRenderedPageBreak/>
        <w:t xml:space="preserve">Looking at model 1 first, we see that the betas on </w:t>
      </w:r>
      <w:r w:rsidRPr="003B67F8">
        <w:rPr>
          <w:rFonts w:eastAsiaTheme="minorEastAsia"/>
          <w:i/>
          <w:iCs/>
        </w:rPr>
        <w:t>Expansion</w:t>
      </w:r>
      <w:r>
        <w:rPr>
          <w:rFonts w:eastAsiaTheme="minorEastAsia"/>
        </w:rPr>
        <w:t xml:space="preserve"> and </w:t>
      </w:r>
      <w:r w:rsidRPr="003B67F8">
        <w:rPr>
          <w:rFonts w:eastAsiaTheme="minorEastAsia"/>
          <w:i/>
          <w:iCs/>
        </w:rPr>
        <w:t>After2014</w:t>
      </w:r>
      <w:r>
        <w:rPr>
          <w:rFonts w:eastAsiaTheme="minorEastAsia"/>
        </w:rPr>
        <w:t xml:space="preserve"> are both </w:t>
      </w:r>
    </w:p>
    <w:p w14:paraId="1D44433B" w14:textId="77777777" w:rsidR="003B67F8" w:rsidRDefault="003B67F8" w:rsidP="003B67F8">
      <w:pPr>
        <w:rPr>
          <w:rFonts w:eastAsiaTheme="minorEastAsia"/>
        </w:rPr>
      </w:pPr>
    </w:p>
    <w:p w14:paraId="37F70CE7" w14:textId="77777777" w:rsidR="00CA50A9" w:rsidRDefault="003B67F8" w:rsidP="003B67F8">
      <w:pPr>
        <w:spacing w:line="480" w:lineRule="auto"/>
        <w:rPr>
          <w:rFonts w:eastAsiaTheme="minorEastAsia"/>
        </w:rPr>
      </w:pPr>
      <w:r>
        <w:rPr>
          <w:rFonts w:eastAsiaTheme="minorEastAsia"/>
        </w:rPr>
        <w:t xml:space="preserve">significant at the .05 level. </w:t>
      </w:r>
    </w:p>
    <w:tbl>
      <w:tblPr>
        <w:tblStyle w:val="TableGrid"/>
        <w:tblW w:w="10217" w:type="dxa"/>
        <w:jc w:val="center"/>
        <w:tblLook w:val="04A0" w:firstRow="1" w:lastRow="0" w:firstColumn="1" w:lastColumn="0" w:noHBand="0" w:noVBand="1"/>
      </w:tblPr>
      <w:tblGrid>
        <w:gridCol w:w="3405"/>
        <w:gridCol w:w="3406"/>
        <w:gridCol w:w="3406"/>
      </w:tblGrid>
      <w:tr w:rsidR="00CA50A9" w:rsidRPr="00E07245" w14:paraId="039CF012" w14:textId="77777777" w:rsidTr="00E64A76">
        <w:trPr>
          <w:trHeight w:val="930"/>
          <w:jc w:val="center"/>
        </w:trPr>
        <w:tc>
          <w:tcPr>
            <w:tcW w:w="3405" w:type="dxa"/>
            <w:shd w:val="clear" w:color="auto" w:fill="1F3864" w:themeFill="accent1" w:themeFillShade="80"/>
            <w:vAlign w:val="center"/>
          </w:tcPr>
          <w:p w14:paraId="1BB6C453" w14:textId="77777777" w:rsidR="00CA50A9" w:rsidRPr="00CA50A9" w:rsidRDefault="00CA50A9" w:rsidP="00E64A76">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Model</w:t>
            </w:r>
          </w:p>
        </w:tc>
        <w:tc>
          <w:tcPr>
            <w:tcW w:w="3406" w:type="dxa"/>
            <w:shd w:val="clear" w:color="auto" w:fill="1F3864" w:themeFill="accent1" w:themeFillShade="80"/>
            <w:vAlign w:val="center"/>
          </w:tcPr>
          <w:p w14:paraId="4D9665CA" w14:textId="77777777" w:rsidR="00CA50A9" w:rsidRPr="00CA50A9" w:rsidRDefault="00CA50A9" w:rsidP="00E64A76">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Independent Variables</w:t>
            </w:r>
          </w:p>
        </w:tc>
        <w:tc>
          <w:tcPr>
            <w:tcW w:w="3406" w:type="dxa"/>
            <w:shd w:val="clear" w:color="auto" w:fill="1F3864" w:themeFill="accent1" w:themeFillShade="80"/>
            <w:vAlign w:val="center"/>
          </w:tcPr>
          <w:p w14:paraId="1DCBD4B8" w14:textId="77777777" w:rsidR="00CA50A9" w:rsidRPr="00CA50A9" w:rsidRDefault="00CA50A9" w:rsidP="00E64A76">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Dependent Variable</w:t>
            </w:r>
          </w:p>
          <w:p w14:paraId="2FAC649F" w14:textId="77777777" w:rsidR="00CA50A9" w:rsidRPr="00CA50A9" w:rsidRDefault="00CA50A9" w:rsidP="00E64A76">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ORED Visits per 100k pop.</w:t>
            </w:r>
          </w:p>
        </w:tc>
      </w:tr>
      <w:tr w:rsidR="00CA50A9" w14:paraId="2A045853" w14:textId="77777777" w:rsidTr="00E64A76">
        <w:trPr>
          <w:trHeight w:val="903"/>
          <w:jc w:val="center"/>
        </w:trPr>
        <w:tc>
          <w:tcPr>
            <w:tcW w:w="3405" w:type="dxa"/>
            <w:vMerge w:val="restart"/>
          </w:tcPr>
          <w:p w14:paraId="36B2A0E1" w14:textId="77777777" w:rsidR="00CA50A9" w:rsidRDefault="00CA50A9" w:rsidP="00C759A1">
            <w:pPr>
              <w:ind w:left="144"/>
              <w:rPr>
                <w:rFonts w:eastAsiaTheme="minorEastAsia"/>
                <w:b/>
                <w:bCs/>
              </w:rPr>
            </w:pPr>
          </w:p>
          <w:p w14:paraId="7DD2B65F" w14:textId="77777777" w:rsidR="00CA50A9" w:rsidRPr="00E07245" w:rsidRDefault="00CA50A9" w:rsidP="00C759A1">
            <w:pPr>
              <w:ind w:left="144"/>
              <w:rPr>
                <w:rFonts w:eastAsiaTheme="minorEastAsia"/>
                <w:b/>
                <w:bCs/>
              </w:rPr>
            </w:pPr>
            <w:r w:rsidRPr="00E07245">
              <w:rPr>
                <w:rFonts w:eastAsiaTheme="minorEastAsia"/>
                <w:b/>
                <w:bCs/>
              </w:rPr>
              <w:t>Model 1</w:t>
            </w:r>
          </w:p>
          <w:p w14:paraId="17AB442A" w14:textId="77777777" w:rsidR="00CA50A9" w:rsidRPr="00E07245" w:rsidRDefault="00CA50A9" w:rsidP="00C759A1">
            <w:pPr>
              <w:ind w:left="144"/>
              <w:rPr>
                <w:rFonts w:eastAsiaTheme="minorEastAsia" w:cs="Times New Roman (Body CS)"/>
                <w:i/>
              </w:rPr>
            </w:pPr>
            <w:r>
              <w:rPr>
                <w:rFonts w:eastAsiaTheme="minorEastAsia" w:cs="Times New Roman (Body CS)"/>
                <w:i/>
              </w:rPr>
              <w:t xml:space="preserve">Simple </w:t>
            </w:r>
            <w:r w:rsidRPr="00E07245">
              <w:rPr>
                <w:rFonts w:eastAsiaTheme="minorEastAsia" w:cs="Times New Roman (Body CS)"/>
                <w:i/>
              </w:rPr>
              <w:t>Difference in</w:t>
            </w:r>
          </w:p>
          <w:p w14:paraId="2062B73B" w14:textId="77777777" w:rsidR="00CA50A9" w:rsidRPr="00E07245" w:rsidRDefault="00CA50A9" w:rsidP="00C759A1">
            <w:pPr>
              <w:ind w:left="144"/>
              <w:rPr>
                <w:rFonts w:eastAsiaTheme="minorEastAsia"/>
                <w:b/>
                <w:bCs/>
              </w:rPr>
            </w:pPr>
            <w:r w:rsidRPr="00E07245">
              <w:rPr>
                <w:rFonts w:eastAsiaTheme="minorEastAsia" w:cs="Times New Roman (Body CS)"/>
                <w:i/>
              </w:rPr>
              <w:t>Difference Model</w:t>
            </w:r>
          </w:p>
        </w:tc>
        <w:tc>
          <w:tcPr>
            <w:tcW w:w="3406" w:type="dxa"/>
            <w:vAlign w:val="center"/>
          </w:tcPr>
          <w:p w14:paraId="061C2037" w14:textId="77777777" w:rsidR="00CA50A9" w:rsidRDefault="00CA50A9" w:rsidP="00E64A76">
            <w:pPr>
              <w:ind w:left="144"/>
              <w:jc w:val="center"/>
              <w:rPr>
                <w:rFonts w:eastAsiaTheme="minorEastAsia"/>
              </w:rPr>
            </w:pPr>
            <w:r>
              <w:rPr>
                <w:rFonts w:eastAsiaTheme="minorEastAsia"/>
              </w:rPr>
              <w:t>Expansion</w:t>
            </w:r>
          </w:p>
        </w:tc>
        <w:tc>
          <w:tcPr>
            <w:tcW w:w="3406" w:type="dxa"/>
            <w:vAlign w:val="center"/>
          </w:tcPr>
          <w:p w14:paraId="000C7FED" w14:textId="77777777" w:rsidR="00CA50A9" w:rsidRDefault="00CA50A9" w:rsidP="00E64A76">
            <w:pPr>
              <w:ind w:left="144"/>
              <w:jc w:val="center"/>
              <w:rPr>
                <w:rFonts w:eastAsiaTheme="minorEastAsia"/>
              </w:rPr>
            </w:pPr>
            <w:r>
              <w:rPr>
                <w:rFonts w:eastAsiaTheme="minorEastAsia"/>
              </w:rPr>
              <w:t>42.09*</w:t>
            </w:r>
          </w:p>
          <w:p w14:paraId="7A94656F" w14:textId="77777777" w:rsidR="00CA50A9" w:rsidRDefault="00CA50A9" w:rsidP="00E64A76">
            <w:pPr>
              <w:ind w:left="144"/>
              <w:jc w:val="center"/>
              <w:rPr>
                <w:rFonts w:eastAsiaTheme="minorEastAsia"/>
              </w:rPr>
            </w:pPr>
            <w:r>
              <w:rPr>
                <w:rFonts w:eastAsiaTheme="minorEastAsia"/>
              </w:rPr>
              <w:t>(13.33)</w:t>
            </w:r>
          </w:p>
        </w:tc>
      </w:tr>
      <w:tr w:rsidR="00CA50A9" w14:paraId="54011B86" w14:textId="77777777" w:rsidTr="00E64A76">
        <w:trPr>
          <w:trHeight w:val="957"/>
          <w:jc w:val="center"/>
        </w:trPr>
        <w:tc>
          <w:tcPr>
            <w:tcW w:w="3405" w:type="dxa"/>
            <w:vMerge/>
          </w:tcPr>
          <w:p w14:paraId="03BD3927" w14:textId="77777777" w:rsidR="00CA50A9" w:rsidRPr="00E07245" w:rsidRDefault="00CA50A9" w:rsidP="00C759A1">
            <w:pPr>
              <w:ind w:left="144"/>
              <w:rPr>
                <w:rFonts w:eastAsiaTheme="minorEastAsia" w:cs="Times New Roman (Body CS)"/>
                <w:i/>
              </w:rPr>
            </w:pPr>
          </w:p>
        </w:tc>
        <w:tc>
          <w:tcPr>
            <w:tcW w:w="3406" w:type="dxa"/>
            <w:vAlign w:val="center"/>
          </w:tcPr>
          <w:p w14:paraId="0D464E36" w14:textId="773D50F4" w:rsidR="00CA50A9" w:rsidRDefault="00CA50A9" w:rsidP="00E64A76">
            <w:pPr>
              <w:ind w:left="144"/>
              <w:jc w:val="center"/>
              <w:rPr>
                <w:rFonts w:eastAsiaTheme="minorEastAsia"/>
              </w:rPr>
            </w:pPr>
            <w:r>
              <w:rPr>
                <w:rFonts w:eastAsiaTheme="minorEastAsia"/>
              </w:rPr>
              <w:t>After2014</w:t>
            </w:r>
          </w:p>
        </w:tc>
        <w:tc>
          <w:tcPr>
            <w:tcW w:w="3406" w:type="dxa"/>
            <w:vAlign w:val="center"/>
          </w:tcPr>
          <w:p w14:paraId="5D331434" w14:textId="77777777" w:rsidR="00CA50A9" w:rsidRDefault="00CA50A9" w:rsidP="00E64A76">
            <w:pPr>
              <w:ind w:left="144"/>
              <w:jc w:val="center"/>
              <w:rPr>
                <w:rFonts w:eastAsiaTheme="minorEastAsia"/>
              </w:rPr>
            </w:pPr>
            <w:r>
              <w:rPr>
                <w:rFonts w:eastAsiaTheme="minorEastAsia"/>
              </w:rPr>
              <w:t>69.71*</w:t>
            </w:r>
          </w:p>
          <w:p w14:paraId="0B9AFDA3" w14:textId="77777777" w:rsidR="00CA50A9" w:rsidRDefault="00CA50A9" w:rsidP="00E64A76">
            <w:pPr>
              <w:ind w:left="144"/>
              <w:jc w:val="center"/>
              <w:rPr>
                <w:rFonts w:eastAsiaTheme="minorEastAsia"/>
              </w:rPr>
            </w:pPr>
            <w:r>
              <w:rPr>
                <w:rFonts w:eastAsiaTheme="minorEastAsia"/>
              </w:rPr>
              <w:t>(16.95)</w:t>
            </w:r>
          </w:p>
        </w:tc>
      </w:tr>
      <w:tr w:rsidR="00CA50A9" w14:paraId="3BD01D9A" w14:textId="77777777" w:rsidTr="00E64A76">
        <w:trPr>
          <w:trHeight w:val="930"/>
          <w:jc w:val="center"/>
        </w:trPr>
        <w:tc>
          <w:tcPr>
            <w:tcW w:w="3405" w:type="dxa"/>
            <w:vMerge/>
            <w:tcBorders>
              <w:bottom w:val="single" w:sz="18" w:space="0" w:color="auto"/>
            </w:tcBorders>
          </w:tcPr>
          <w:p w14:paraId="4989BE31" w14:textId="77777777" w:rsidR="00CA50A9" w:rsidRPr="00E07245" w:rsidRDefault="00CA50A9" w:rsidP="00C759A1">
            <w:pPr>
              <w:ind w:left="144"/>
              <w:rPr>
                <w:rFonts w:eastAsiaTheme="minorEastAsia" w:cs="Times New Roman (Body CS)"/>
                <w:i/>
              </w:rPr>
            </w:pPr>
          </w:p>
        </w:tc>
        <w:tc>
          <w:tcPr>
            <w:tcW w:w="3406" w:type="dxa"/>
            <w:tcBorders>
              <w:bottom w:val="single" w:sz="18" w:space="0" w:color="auto"/>
            </w:tcBorders>
            <w:vAlign w:val="center"/>
          </w:tcPr>
          <w:p w14:paraId="445247D3" w14:textId="0AC0E7D7" w:rsidR="00CA50A9" w:rsidRDefault="00CA50A9" w:rsidP="00E64A76">
            <w:pPr>
              <w:ind w:left="144"/>
              <w:jc w:val="center"/>
              <w:rPr>
                <w:rFonts w:eastAsiaTheme="minorEastAsia"/>
              </w:rPr>
            </w:pPr>
            <w:r>
              <w:rPr>
                <w:rFonts w:eastAsiaTheme="minorEastAsia"/>
              </w:rPr>
              <w:t>Expansion*</w:t>
            </w:r>
            <w:r w:rsidR="00E64A76">
              <w:rPr>
                <w:rFonts w:eastAsiaTheme="minorEastAsia"/>
              </w:rPr>
              <w:t>A</w:t>
            </w:r>
            <w:r>
              <w:rPr>
                <w:rFonts w:eastAsiaTheme="minorEastAsia"/>
              </w:rPr>
              <w:t>fter2014</w:t>
            </w:r>
          </w:p>
        </w:tc>
        <w:tc>
          <w:tcPr>
            <w:tcW w:w="3406" w:type="dxa"/>
            <w:tcBorders>
              <w:bottom w:val="single" w:sz="18" w:space="0" w:color="auto"/>
            </w:tcBorders>
            <w:vAlign w:val="center"/>
          </w:tcPr>
          <w:p w14:paraId="239A4451" w14:textId="77777777" w:rsidR="00CA50A9" w:rsidRDefault="00CA50A9" w:rsidP="00E64A76">
            <w:pPr>
              <w:ind w:left="144"/>
              <w:jc w:val="center"/>
              <w:rPr>
                <w:rFonts w:eastAsiaTheme="minorEastAsia"/>
              </w:rPr>
            </w:pPr>
            <w:r>
              <w:rPr>
                <w:rFonts w:eastAsiaTheme="minorEastAsia"/>
              </w:rPr>
              <w:t>44.19</w:t>
            </w:r>
          </w:p>
          <w:p w14:paraId="703BA905" w14:textId="77777777" w:rsidR="00CA50A9" w:rsidRDefault="00CA50A9" w:rsidP="00E64A76">
            <w:pPr>
              <w:ind w:left="144"/>
              <w:jc w:val="center"/>
              <w:rPr>
                <w:rFonts w:eastAsiaTheme="minorEastAsia"/>
              </w:rPr>
            </w:pPr>
            <w:r>
              <w:rPr>
                <w:rFonts w:eastAsiaTheme="minorEastAsia"/>
              </w:rPr>
              <w:t>(23.10)</w:t>
            </w:r>
          </w:p>
        </w:tc>
      </w:tr>
    </w:tbl>
    <w:p w14:paraId="3FCD6671" w14:textId="77777777" w:rsidR="00CA50A9" w:rsidRDefault="00CA50A9" w:rsidP="00CA50A9">
      <w:pPr>
        <w:jc w:val="both"/>
        <w:rPr>
          <w:rFonts w:eastAsiaTheme="minorEastAsia"/>
        </w:rPr>
      </w:pPr>
    </w:p>
    <w:p w14:paraId="59A521CF" w14:textId="071806E6" w:rsidR="003B67F8" w:rsidRDefault="003B67F8" w:rsidP="00CA50A9">
      <w:pPr>
        <w:spacing w:line="480" w:lineRule="auto"/>
        <w:jc w:val="both"/>
        <w:rPr>
          <w:rFonts w:eastAsiaTheme="minorEastAsia"/>
        </w:rPr>
      </w:pPr>
      <w:r>
        <w:rPr>
          <w:rFonts w:eastAsiaTheme="minorEastAsia"/>
        </w:rPr>
        <w:t xml:space="preserve">The </w:t>
      </w:r>
      <w:r w:rsidRPr="003B67F8">
        <w:rPr>
          <w:rFonts w:eastAsiaTheme="minorEastAsia"/>
          <w:i/>
          <w:iCs/>
        </w:rPr>
        <w:t>Expansion</w:t>
      </w:r>
      <w:r>
        <w:rPr>
          <w:rFonts w:eastAsiaTheme="minorEastAsia"/>
        </w:rPr>
        <w:t xml:space="preserve"> variable indicates that before Medicaid expansion policy took effect (2008-2013), Medicaid expansion States had on average 4</w:t>
      </w:r>
      <w:r w:rsidR="00400990">
        <w:rPr>
          <w:rFonts w:eastAsiaTheme="minorEastAsia"/>
        </w:rPr>
        <w:t>2.0</w:t>
      </w:r>
      <w:r>
        <w:rPr>
          <w:rFonts w:eastAsiaTheme="minorEastAsia"/>
        </w:rPr>
        <w:t>9 more ORED</w:t>
      </w:r>
      <w:r w:rsidR="00CA50A9">
        <w:rPr>
          <w:rFonts w:eastAsiaTheme="minorEastAsia"/>
        </w:rPr>
        <w:t xml:space="preserve"> </w:t>
      </w:r>
      <w:r>
        <w:rPr>
          <w:rFonts w:eastAsiaTheme="minorEastAsia"/>
        </w:rPr>
        <w:t xml:space="preserve">than States that did not expand Medicaid. The </w:t>
      </w:r>
      <w:r w:rsidRPr="003B67F8">
        <w:rPr>
          <w:rFonts w:eastAsiaTheme="minorEastAsia"/>
          <w:i/>
          <w:iCs/>
        </w:rPr>
        <w:t>After2014</w:t>
      </w:r>
      <w:r>
        <w:rPr>
          <w:rFonts w:eastAsiaTheme="minorEastAsia"/>
          <w:i/>
          <w:iCs/>
        </w:rPr>
        <w:t xml:space="preserve"> </w:t>
      </w:r>
      <w:r>
        <w:rPr>
          <w:rFonts w:eastAsiaTheme="minorEastAsia"/>
        </w:rPr>
        <w:t xml:space="preserve">variable indicates that </w:t>
      </w:r>
      <w:r w:rsidR="00D41E3D">
        <w:rPr>
          <w:rFonts w:eastAsiaTheme="minorEastAsia"/>
        </w:rPr>
        <w:t xml:space="preserve">non-expansion States had on average 69.71 more ORED </w:t>
      </w:r>
      <w:r w:rsidR="00722626">
        <w:rPr>
          <w:rFonts w:eastAsiaTheme="minorEastAsia"/>
        </w:rPr>
        <w:t xml:space="preserve">after Medicaid expansion policy took effect, compared to the time period before Medicaid expansion policy took effect. </w:t>
      </w:r>
      <w:r w:rsidR="00C5760A">
        <w:rPr>
          <w:rFonts w:eastAsiaTheme="minorEastAsia"/>
        </w:rPr>
        <w:t>However</w:t>
      </w:r>
      <w:r w:rsidR="00722626">
        <w:rPr>
          <w:rFonts w:eastAsiaTheme="minorEastAsia"/>
        </w:rPr>
        <w:t xml:space="preserve">, the lack of significance on the interaction term indicates that ORED did not </w:t>
      </w:r>
      <w:r w:rsidR="00C5760A">
        <w:rPr>
          <w:rFonts w:eastAsiaTheme="minorEastAsia"/>
        </w:rPr>
        <w:t xml:space="preserve">significantly </w:t>
      </w:r>
      <w:r w:rsidR="00722626">
        <w:rPr>
          <w:rFonts w:eastAsiaTheme="minorEastAsia"/>
        </w:rPr>
        <w:t xml:space="preserve">increase more for expansion States than it did for non-expansion States when looking at the before and after effects of Medicaid expansion. </w:t>
      </w:r>
    </w:p>
    <w:p w14:paraId="0F8CF76E" w14:textId="71169A38" w:rsidR="005E26C4" w:rsidRDefault="000A3A25" w:rsidP="009F6028">
      <w:pPr>
        <w:spacing w:line="480" w:lineRule="auto"/>
        <w:jc w:val="both"/>
        <w:rPr>
          <w:rFonts w:eastAsiaTheme="minorEastAsia"/>
        </w:rPr>
      </w:pPr>
      <w:r>
        <w:rPr>
          <w:rFonts w:eastAsiaTheme="minorEastAsia"/>
        </w:rPr>
        <w:tab/>
        <w:t xml:space="preserve">When looking at </w:t>
      </w:r>
      <w:r w:rsidR="006D1320">
        <w:rPr>
          <w:rFonts w:eastAsiaTheme="minorEastAsia"/>
        </w:rPr>
        <w:t>M</w:t>
      </w:r>
      <w:r>
        <w:rPr>
          <w:rFonts w:eastAsiaTheme="minorEastAsia"/>
        </w:rPr>
        <w:t xml:space="preserve">odel 2, the results paint a different picture. </w:t>
      </w:r>
      <w:r w:rsidR="006D1320">
        <w:rPr>
          <w:rFonts w:eastAsiaTheme="minorEastAsia"/>
        </w:rPr>
        <w:t>There are two main differences between Model 1 and Model 2. The first main difference is that w</w:t>
      </w:r>
      <w:r w:rsidR="00BB3BC6">
        <w:rPr>
          <w:rFonts w:eastAsiaTheme="minorEastAsia"/>
        </w:rPr>
        <w:t>hen State fixed effects, time fixed effects, and control variable</w:t>
      </w:r>
      <w:r w:rsidR="006D1320">
        <w:rPr>
          <w:rFonts w:eastAsiaTheme="minorEastAsia"/>
        </w:rPr>
        <w:t>s</w:t>
      </w:r>
      <w:r w:rsidR="00BB3BC6">
        <w:rPr>
          <w:rFonts w:eastAsiaTheme="minorEastAsia"/>
        </w:rPr>
        <w:t xml:space="preserve"> are included, the interaction term</w:t>
      </w:r>
      <w:r w:rsidR="006D1320">
        <w:rPr>
          <w:rFonts w:eastAsiaTheme="minorEastAsia"/>
        </w:rPr>
        <w:t xml:space="preserve">, </w:t>
      </w:r>
      <w:r w:rsidR="006D1320" w:rsidRPr="006D1320">
        <w:rPr>
          <w:rFonts w:eastAsiaTheme="minorEastAsia"/>
          <w:i/>
          <w:iCs/>
        </w:rPr>
        <w:t>Expansion*After2014</w:t>
      </w:r>
      <w:r w:rsidR="006D1320">
        <w:rPr>
          <w:rFonts w:eastAsiaTheme="minorEastAsia"/>
        </w:rPr>
        <w:t>,</w:t>
      </w:r>
      <w:r w:rsidR="00BB3BC6">
        <w:rPr>
          <w:rFonts w:eastAsiaTheme="minorEastAsia"/>
        </w:rPr>
        <w:t xml:space="preserve"> becomes significant. This indicates that </w:t>
      </w:r>
      <w:r w:rsidR="000D5B3A">
        <w:rPr>
          <w:rFonts w:eastAsiaTheme="minorEastAsia"/>
        </w:rPr>
        <w:t xml:space="preserve">ORED increased by 43.27 more for Medicaid expansion States than it did for non-expansion States. </w:t>
      </w:r>
      <w:r w:rsidR="006D1320">
        <w:rPr>
          <w:rFonts w:eastAsiaTheme="minorEastAsia"/>
        </w:rPr>
        <w:t>The second main</w:t>
      </w:r>
      <w:r w:rsidR="002E4FD7">
        <w:rPr>
          <w:rFonts w:eastAsiaTheme="minorEastAsia"/>
        </w:rPr>
        <w:t xml:space="preserve"> difference between the two models is that the standard error on the interaction term is much smaller </w:t>
      </w:r>
      <w:r w:rsidR="006D1320">
        <w:rPr>
          <w:rFonts w:eastAsiaTheme="minorEastAsia"/>
        </w:rPr>
        <w:t xml:space="preserve">in </w:t>
      </w:r>
      <w:r w:rsidR="006D1320">
        <w:rPr>
          <w:rFonts w:eastAsiaTheme="minorEastAsia"/>
        </w:rPr>
        <w:lastRenderedPageBreak/>
        <w:t xml:space="preserve">Model 2 </w:t>
      </w:r>
      <w:r w:rsidR="002E4FD7">
        <w:rPr>
          <w:rFonts w:eastAsiaTheme="minorEastAsia"/>
        </w:rPr>
        <w:t xml:space="preserve">than it </w:t>
      </w:r>
      <w:r w:rsidR="006D1320">
        <w:rPr>
          <w:rFonts w:eastAsiaTheme="minorEastAsia"/>
        </w:rPr>
        <w:t>is</w:t>
      </w:r>
      <w:r w:rsidR="002E4FD7">
        <w:rPr>
          <w:rFonts w:eastAsiaTheme="minorEastAsia"/>
        </w:rPr>
        <w:t xml:space="preserve"> in </w:t>
      </w:r>
      <w:r w:rsidR="006D1320">
        <w:rPr>
          <w:rFonts w:eastAsiaTheme="minorEastAsia"/>
        </w:rPr>
        <w:t>M</w:t>
      </w:r>
      <w:r w:rsidR="002E4FD7">
        <w:rPr>
          <w:rFonts w:eastAsiaTheme="minorEastAsia"/>
        </w:rPr>
        <w:t xml:space="preserve">odel 1, indicating that the estimate in </w:t>
      </w:r>
      <w:r w:rsidR="006D1320">
        <w:rPr>
          <w:rFonts w:eastAsiaTheme="minorEastAsia"/>
        </w:rPr>
        <w:t>M</w:t>
      </w:r>
      <w:r w:rsidR="002E4FD7">
        <w:rPr>
          <w:rFonts w:eastAsiaTheme="minorEastAsia"/>
        </w:rPr>
        <w:t xml:space="preserve">odel 2 is more precise than the estimate in </w:t>
      </w:r>
      <w:r w:rsidR="006D1320">
        <w:rPr>
          <w:rFonts w:eastAsiaTheme="minorEastAsia"/>
        </w:rPr>
        <w:t>M</w:t>
      </w:r>
      <w:r w:rsidR="002E4FD7">
        <w:rPr>
          <w:rFonts w:eastAsiaTheme="minorEastAsia"/>
        </w:rPr>
        <w:t xml:space="preserve">odel 1. </w:t>
      </w:r>
      <w:r w:rsidR="00DD51BC">
        <w:rPr>
          <w:rFonts w:eastAsiaTheme="minorEastAsia"/>
        </w:rPr>
        <w:t>In regard to the control variables added to Model 2</w:t>
      </w:r>
      <w:r w:rsidR="0037697C">
        <w:rPr>
          <w:rFonts w:eastAsiaTheme="minorEastAsia"/>
        </w:rPr>
        <w:t xml:space="preserve">, the only control variable that appeared to be significant was unemployment rate. </w:t>
      </w:r>
    </w:p>
    <w:tbl>
      <w:tblPr>
        <w:tblStyle w:val="TableGrid"/>
        <w:tblW w:w="10181" w:type="dxa"/>
        <w:jc w:val="center"/>
        <w:tblLook w:val="04A0" w:firstRow="1" w:lastRow="0" w:firstColumn="1" w:lastColumn="0" w:noHBand="0" w:noVBand="1"/>
      </w:tblPr>
      <w:tblGrid>
        <w:gridCol w:w="3393"/>
        <w:gridCol w:w="3394"/>
        <w:gridCol w:w="3394"/>
      </w:tblGrid>
      <w:tr w:rsidR="005E26C4" w14:paraId="2DE8D212" w14:textId="77777777" w:rsidTr="00CA50A9">
        <w:trPr>
          <w:trHeight w:val="882"/>
          <w:jc w:val="center"/>
        </w:trPr>
        <w:tc>
          <w:tcPr>
            <w:tcW w:w="3393" w:type="dxa"/>
            <w:shd w:val="clear" w:color="auto" w:fill="1F3864" w:themeFill="accent1" w:themeFillShade="80"/>
            <w:vAlign w:val="center"/>
          </w:tcPr>
          <w:p w14:paraId="30D190F8" w14:textId="77777777" w:rsidR="005E26C4" w:rsidRPr="00CA50A9" w:rsidRDefault="005E26C4" w:rsidP="00CA50A9">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Model</w:t>
            </w:r>
          </w:p>
        </w:tc>
        <w:tc>
          <w:tcPr>
            <w:tcW w:w="3394" w:type="dxa"/>
            <w:shd w:val="clear" w:color="auto" w:fill="1F3864" w:themeFill="accent1" w:themeFillShade="80"/>
            <w:vAlign w:val="center"/>
          </w:tcPr>
          <w:p w14:paraId="72B33A74" w14:textId="77777777" w:rsidR="005E26C4" w:rsidRPr="00CA50A9" w:rsidRDefault="005E26C4" w:rsidP="00CA50A9">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Independent Variables</w:t>
            </w:r>
          </w:p>
        </w:tc>
        <w:tc>
          <w:tcPr>
            <w:tcW w:w="3394" w:type="dxa"/>
            <w:shd w:val="clear" w:color="auto" w:fill="1F3864" w:themeFill="accent1" w:themeFillShade="80"/>
            <w:vAlign w:val="center"/>
          </w:tcPr>
          <w:p w14:paraId="60D67577" w14:textId="77777777" w:rsidR="005E26C4" w:rsidRPr="00CA50A9" w:rsidRDefault="005E26C4" w:rsidP="00CA50A9">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Dependent Variable</w:t>
            </w:r>
          </w:p>
          <w:p w14:paraId="1E6543DA" w14:textId="77777777" w:rsidR="005E26C4" w:rsidRPr="00CA50A9" w:rsidRDefault="005E26C4" w:rsidP="00CA50A9">
            <w:pPr>
              <w:ind w:left="144"/>
              <w:jc w:val="center"/>
              <w:rPr>
                <w:rFonts w:eastAsiaTheme="minorEastAsia"/>
                <w:b/>
                <w:bCs/>
                <w:color w:val="FFFFFF" w:themeColor="background1"/>
                <w:sz w:val="28"/>
                <w:szCs w:val="28"/>
              </w:rPr>
            </w:pPr>
            <w:r w:rsidRPr="00CA50A9">
              <w:rPr>
                <w:rFonts w:eastAsiaTheme="minorEastAsia"/>
                <w:b/>
                <w:bCs/>
                <w:color w:val="FFFFFF" w:themeColor="background1"/>
                <w:sz w:val="28"/>
                <w:szCs w:val="28"/>
              </w:rPr>
              <w:t>ORED Visits per 100k pop.</w:t>
            </w:r>
          </w:p>
        </w:tc>
      </w:tr>
      <w:tr w:rsidR="005E26C4" w14:paraId="3668E1FE" w14:textId="77777777" w:rsidTr="00CA50A9">
        <w:trPr>
          <w:trHeight w:val="857"/>
          <w:jc w:val="center"/>
        </w:trPr>
        <w:tc>
          <w:tcPr>
            <w:tcW w:w="3393" w:type="dxa"/>
            <w:vMerge w:val="restart"/>
            <w:tcBorders>
              <w:top w:val="single" w:sz="18" w:space="0" w:color="auto"/>
            </w:tcBorders>
          </w:tcPr>
          <w:p w14:paraId="57CFC824" w14:textId="77777777" w:rsidR="005E26C4" w:rsidRDefault="005E26C4" w:rsidP="00CA50A9">
            <w:pPr>
              <w:ind w:left="144"/>
              <w:rPr>
                <w:rFonts w:eastAsiaTheme="minorEastAsia"/>
                <w:b/>
                <w:bCs/>
              </w:rPr>
            </w:pPr>
          </w:p>
          <w:p w14:paraId="593DF17B" w14:textId="77777777" w:rsidR="005E26C4" w:rsidRPr="00E07245" w:rsidRDefault="005E26C4" w:rsidP="00CA50A9">
            <w:pPr>
              <w:ind w:left="144"/>
              <w:rPr>
                <w:rFonts w:eastAsiaTheme="minorEastAsia"/>
                <w:b/>
                <w:bCs/>
              </w:rPr>
            </w:pPr>
            <w:r w:rsidRPr="00E07245">
              <w:rPr>
                <w:rFonts w:eastAsiaTheme="minorEastAsia"/>
                <w:b/>
                <w:bCs/>
              </w:rPr>
              <w:t>Model 2</w:t>
            </w:r>
          </w:p>
          <w:p w14:paraId="3865E4CF" w14:textId="77777777" w:rsidR="005E26C4" w:rsidRPr="00E07245" w:rsidRDefault="005E26C4" w:rsidP="00CA50A9">
            <w:pPr>
              <w:ind w:left="144"/>
              <w:rPr>
                <w:rFonts w:eastAsiaTheme="minorEastAsia" w:cs="Times New Roman (Body CS)"/>
                <w:i/>
              </w:rPr>
            </w:pPr>
            <w:r w:rsidRPr="00E07245">
              <w:rPr>
                <w:rFonts w:eastAsiaTheme="minorEastAsia" w:cs="Times New Roman (Body CS)"/>
                <w:i/>
              </w:rPr>
              <w:t>Difference</w:t>
            </w:r>
            <w:r>
              <w:rPr>
                <w:rFonts w:eastAsiaTheme="minorEastAsia" w:cs="Times New Roman (Body CS)"/>
                <w:i/>
              </w:rPr>
              <w:t xml:space="preserve"> in Difference</w:t>
            </w:r>
            <w:r w:rsidRPr="00E07245">
              <w:rPr>
                <w:rFonts w:eastAsiaTheme="minorEastAsia" w:cs="Times New Roman (Body CS)"/>
                <w:i/>
              </w:rPr>
              <w:t xml:space="preserve"> Model</w:t>
            </w:r>
          </w:p>
          <w:p w14:paraId="3807ACF8" w14:textId="77777777" w:rsidR="005E26C4" w:rsidRPr="00E07245" w:rsidRDefault="005E26C4" w:rsidP="00CA50A9">
            <w:pPr>
              <w:ind w:left="144"/>
              <w:rPr>
                <w:rFonts w:eastAsiaTheme="minorEastAsia" w:cs="Times New Roman (Body CS)"/>
                <w:i/>
              </w:rPr>
            </w:pPr>
            <w:r w:rsidRPr="00E07245">
              <w:rPr>
                <w:rFonts w:eastAsiaTheme="minorEastAsia" w:cs="Times New Roman (Body CS)"/>
                <w:i/>
              </w:rPr>
              <w:t>w/ added Fixed Effects</w:t>
            </w:r>
          </w:p>
          <w:p w14:paraId="198382C8" w14:textId="77777777" w:rsidR="005E26C4" w:rsidRPr="00E07245" w:rsidRDefault="005E26C4" w:rsidP="00CA50A9">
            <w:pPr>
              <w:ind w:left="144"/>
              <w:rPr>
                <w:rFonts w:eastAsiaTheme="minorEastAsia"/>
                <w:b/>
                <w:bCs/>
              </w:rPr>
            </w:pPr>
            <w:r w:rsidRPr="00E07245">
              <w:rPr>
                <w:rFonts w:eastAsiaTheme="minorEastAsia" w:cs="Times New Roman (Body CS)"/>
                <w:i/>
              </w:rPr>
              <w:t>&amp; Control Variables</w:t>
            </w:r>
          </w:p>
        </w:tc>
        <w:tc>
          <w:tcPr>
            <w:tcW w:w="3394" w:type="dxa"/>
            <w:tcBorders>
              <w:top w:val="single" w:sz="18" w:space="0" w:color="auto"/>
              <w:bottom w:val="single" w:sz="4" w:space="0" w:color="auto"/>
            </w:tcBorders>
            <w:vAlign w:val="center"/>
          </w:tcPr>
          <w:p w14:paraId="653D0094" w14:textId="57063B6C" w:rsidR="005E26C4" w:rsidRDefault="005E26C4" w:rsidP="00CA50A9">
            <w:pPr>
              <w:ind w:left="144"/>
              <w:jc w:val="center"/>
              <w:rPr>
                <w:rFonts w:eastAsiaTheme="minorEastAsia"/>
              </w:rPr>
            </w:pPr>
            <w:r>
              <w:rPr>
                <w:rFonts w:eastAsiaTheme="minorEastAsia"/>
              </w:rPr>
              <w:t>Expansion*</w:t>
            </w:r>
            <w:r w:rsidR="00E64A76">
              <w:rPr>
                <w:rFonts w:eastAsiaTheme="minorEastAsia"/>
              </w:rPr>
              <w:t>A</w:t>
            </w:r>
            <w:r>
              <w:rPr>
                <w:rFonts w:eastAsiaTheme="minorEastAsia"/>
              </w:rPr>
              <w:t>fter2014</w:t>
            </w:r>
          </w:p>
        </w:tc>
        <w:tc>
          <w:tcPr>
            <w:tcW w:w="3394" w:type="dxa"/>
            <w:tcBorders>
              <w:top w:val="single" w:sz="18" w:space="0" w:color="auto"/>
              <w:bottom w:val="single" w:sz="4" w:space="0" w:color="auto"/>
            </w:tcBorders>
            <w:vAlign w:val="center"/>
          </w:tcPr>
          <w:p w14:paraId="704C2A5E" w14:textId="77777777" w:rsidR="005E26C4" w:rsidRDefault="005E26C4" w:rsidP="00CA50A9">
            <w:pPr>
              <w:ind w:left="144"/>
              <w:jc w:val="center"/>
              <w:rPr>
                <w:rFonts w:eastAsiaTheme="minorEastAsia"/>
              </w:rPr>
            </w:pPr>
            <w:r>
              <w:rPr>
                <w:rFonts w:eastAsiaTheme="minorEastAsia"/>
              </w:rPr>
              <w:t>43.27*</w:t>
            </w:r>
          </w:p>
          <w:p w14:paraId="35025AF9" w14:textId="77777777" w:rsidR="005E26C4" w:rsidRDefault="005E26C4" w:rsidP="00CA50A9">
            <w:pPr>
              <w:ind w:left="144"/>
              <w:jc w:val="center"/>
              <w:rPr>
                <w:rFonts w:eastAsiaTheme="minorEastAsia"/>
              </w:rPr>
            </w:pPr>
            <w:r>
              <w:rPr>
                <w:rFonts w:eastAsiaTheme="minorEastAsia"/>
              </w:rPr>
              <w:t>(8.70)</w:t>
            </w:r>
          </w:p>
        </w:tc>
      </w:tr>
      <w:tr w:rsidR="005E26C4" w14:paraId="3281FE25" w14:textId="77777777" w:rsidTr="00CA50A9">
        <w:trPr>
          <w:trHeight w:val="908"/>
          <w:jc w:val="center"/>
        </w:trPr>
        <w:tc>
          <w:tcPr>
            <w:tcW w:w="3393" w:type="dxa"/>
            <w:vMerge/>
            <w:vAlign w:val="center"/>
          </w:tcPr>
          <w:p w14:paraId="70B29773" w14:textId="77777777" w:rsidR="005E26C4" w:rsidRPr="00E07245" w:rsidRDefault="005E26C4" w:rsidP="00CA50A9">
            <w:pPr>
              <w:ind w:left="144"/>
              <w:jc w:val="center"/>
              <w:rPr>
                <w:rFonts w:eastAsiaTheme="minorEastAsia" w:cs="Times New Roman (Body CS)"/>
                <w:i/>
              </w:rPr>
            </w:pPr>
          </w:p>
        </w:tc>
        <w:tc>
          <w:tcPr>
            <w:tcW w:w="3394" w:type="dxa"/>
            <w:tcBorders>
              <w:top w:val="single" w:sz="4" w:space="0" w:color="auto"/>
            </w:tcBorders>
            <w:vAlign w:val="center"/>
          </w:tcPr>
          <w:p w14:paraId="0E69103D" w14:textId="77777777" w:rsidR="005E26C4" w:rsidRDefault="005E26C4" w:rsidP="00CA50A9">
            <w:pPr>
              <w:ind w:left="144"/>
              <w:jc w:val="center"/>
              <w:rPr>
                <w:rFonts w:eastAsiaTheme="minorEastAsia"/>
              </w:rPr>
            </w:pPr>
            <w:r>
              <w:rPr>
                <w:rFonts w:eastAsiaTheme="minorEastAsia"/>
              </w:rPr>
              <w:t>GDPpc</w:t>
            </w:r>
          </w:p>
        </w:tc>
        <w:tc>
          <w:tcPr>
            <w:tcW w:w="3394" w:type="dxa"/>
            <w:tcBorders>
              <w:top w:val="single" w:sz="4" w:space="0" w:color="auto"/>
            </w:tcBorders>
            <w:vAlign w:val="center"/>
          </w:tcPr>
          <w:p w14:paraId="6FA0B891" w14:textId="77777777" w:rsidR="005E26C4" w:rsidRDefault="005E26C4" w:rsidP="00CA50A9">
            <w:pPr>
              <w:ind w:left="144"/>
              <w:jc w:val="center"/>
              <w:rPr>
                <w:rFonts w:eastAsiaTheme="minorEastAsia"/>
              </w:rPr>
            </w:pPr>
            <w:r>
              <w:rPr>
                <w:rFonts w:eastAsiaTheme="minorEastAsia"/>
              </w:rPr>
              <w:t>0.00</w:t>
            </w:r>
          </w:p>
          <w:p w14:paraId="03D58CAA" w14:textId="77777777" w:rsidR="005E26C4" w:rsidRDefault="005E26C4" w:rsidP="00CA50A9">
            <w:pPr>
              <w:ind w:left="144"/>
              <w:jc w:val="center"/>
              <w:rPr>
                <w:rFonts w:eastAsiaTheme="minorEastAsia"/>
              </w:rPr>
            </w:pPr>
            <w:r>
              <w:rPr>
                <w:rFonts w:eastAsiaTheme="minorEastAsia"/>
              </w:rPr>
              <w:t>(0.002)</w:t>
            </w:r>
          </w:p>
        </w:tc>
      </w:tr>
      <w:tr w:rsidR="005E26C4" w14:paraId="462FE379" w14:textId="77777777" w:rsidTr="00CA50A9">
        <w:trPr>
          <w:trHeight w:val="882"/>
          <w:jc w:val="center"/>
        </w:trPr>
        <w:tc>
          <w:tcPr>
            <w:tcW w:w="3393" w:type="dxa"/>
            <w:vMerge/>
            <w:vAlign w:val="center"/>
          </w:tcPr>
          <w:p w14:paraId="3FFFA79C" w14:textId="77777777" w:rsidR="005E26C4" w:rsidRPr="00E07245" w:rsidRDefault="005E26C4" w:rsidP="00CA50A9">
            <w:pPr>
              <w:ind w:left="144"/>
              <w:jc w:val="center"/>
              <w:rPr>
                <w:rFonts w:eastAsiaTheme="minorEastAsia" w:cs="Times New Roman (Body CS)"/>
                <w:i/>
              </w:rPr>
            </w:pPr>
          </w:p>
        </w:tc>
        <w:tc>
          <w:tcPr>
            <w:tcW w:w="3394" w:type="dxa"/>
            <w:vAlign w:val="center"/>
          </w:tcPr>
          <w:p w14:paraId="4DCDE12A" w14:textId="77777777" w:rsidR="005E26C4" w:rsidRDefault="005E26C4" w:rsidP="00CA50A9">
            <w:pPr>
              <w:ind w:left="144"/>
              <w:jc w:val="center"/>
              <w:rPr>
                <w:rFonts w:eastAsiaTheme="minorEastAsia"/>
              </w:rPr>
            </w:pPr>
            <w:r>
              <w:rPr>
                <w:rFonts w:eastAsiaTheme="minorEastAsia"/>
              </w:rPr>
              <w:t>Median Hourly Wage</w:t>
            </w:r>
          </w:p>
        </w:tc>
        <w:tc>
          <w:tcPr>
            <w:tcW w:w="3394" w:type="dxa"/>
            <w:vAlign w:val="center"/>
          </w:tcPr>
          <w:p w14:paraId="6E43EBC3" w14:textId="77777777" w:rsidR="005E26C4" w:rsidRDefault="005E26C4" w:rsidP="00CA50A9">
            <w:pPr>
              <w:ind w:left="144"/>
              <w:jc w:val="center"/>
              <w:rPr>
                <w:rFonts w:eastAsiaTheme="minorEastAsia"/>
              </w:rPr>
            </w:pPr>
            <w:r>
              <w:rPr>
                <w:rFonts w:eastAsiaTheme="minorEastAsia"/>
              </w:rPr>
              <w:t>13.06</w:t>
            </w:r>
          </w:p>
          <w:p w14:paraId="3EB87A12" w14:textId="77777777" w:rsidR="005E26C4" w:rsidRDefault="005E26C4" w:rsidP="00CA50A9">
            <w:pPr>
              <w:ind w:left="144"/>
              <w:jc w:val="center"/>
              <w:rPr>
                <w:rFonts w:eastAsiaTheme="minorEastAsia"/>
              </w:rPr>
            </w:pPr>
            <w:r>
              <w:rPr>
                <w:rFonts w:eastAsiaTheme="minorEastAsia"/>
              </w:rPr>
              <w:t>(13.05)</w:t>
            </w:r>
          </w:p>
        </w:tc>
      </w:tr>
      <w:tr w:rsidR="005E26C4" w14:paraId="0113D673" w14:textId="77777777" w:rsidTr="00CA50A9">
        <w:trPr>
          <w:trHeight w:val="908"/>
          <w:jc w:val="center"/>
        </w:trPr>
        <w:tc>
          <w:tcPr>
            <w:tcW w:w="3393" w:type="dxa"/>
            <w:vMerge/>
            <w:vAlign w:val="center"/>
          </w:tcPr>
          <w:p w14:paraId="3636781E" w14:textId="77777777" w:rsidR="005E26C4" w:rsidRPr="00E07245" w:rsidRDefault="005E26C4" w:rsidP="00CA50A9">
            <w:pPr>
              <w:ind w:left="144"/>
              <w:jc w:val="center"/>
              <w:rPr>
                <w:rFonts w:eastAsiaTheme="minorEastAsia" w:cs="Times New Roman (Body CS)"/>
                <w:i/>
              </w:rPr>
            </w:pPr>
          </w:p>
        </w:tc>
        <w:tc>
          <w:tcPr>
            <w:tcW w:w="3394" w:type="dxa"/>
            <w:vAlign w:val="center"/>
          </w:tcPr>
          <w:p w14:paraId="62AAE499" w14:textId="77777777" w:rsidR="005E26C4" w:rsidRDefault="005E26C4" w:rsidP="00CA50A9">
            <w:pPr>
              <w:ind w:left="144"/>
              <w:jc w:val="center"/>
              <w:rPr>
                <w:rFonts w:eastAsiaTheme="minorEastAsia"/>
              </w:rPr>
            </w:pPr>
            <w:r>
              <w:rPr>
                <w:rFonts w:eastAsiaTheme="minorEastAsia"/>
              </w:rPr>
              <w:t>Unemployment</w:t>
            </w:r>
          </w:p>
        </w:tc>
        <w:tc>
          <w:tcPr>
            <w:tcW w:w="3394" w:type="dxa"/>
            <w:vAlign w:val="center"/>
          </w:tcPr>
          <w:p w14:paraId="5110A948" w14:textId="77777777" w:rsidR="005E26C4" w:rsidRDefault="005E26C4" w:rsidP="00CA50A9">
            <w:pPr>
              <w:ind w:left="144"/>
              <w:jc w:val="center"/>
              <w:rPr>
                <w:rFonts w:eastAsiaTheme="minorEastAsia"/>
              </w:rPr>
            </w:pPr>
            <w:r>
              <w:rPr>
                <w:rFonts w:eastAsiaTheme="minorEastAsia"/>
              </w:rPr>
              <w:t>-11.62*</w:t>
            </w:r>
          </w:p>
          <w:p w14:paraId="073B17FC" w14:textId="77777777" w:rsidR="005E26C4" w:rsidRDefault="005E26C4" w:rsidP="00CA50A9">
            <w:pPr>
              <w:ind w:left="144"/>
              <w:jc w:val="center"/>
              <w:rPr>
                <w:rFonts w:eastAsiaTheme="minorEastAsia"/>
              </w:rPr>
            </w:pPr>
            <w:r>
              <w:rPr>
                <w:rFonts w:eastAsiaTheme="minorEastAsia"/>
              </w:rPr>
              <w:t>(3.67)</w:t>
            </w:r>
          </w:p>
        </w:tc>
      </w:tr>
    </w:tbl>
    <w:p w14:paraId="7D2D8D37" w14:textId="77777777" w:rsidR="005E26C4" w:rsidRDefault="005E26C4" w:rsidP="00CA50A9">
      <w:pPr>
        <w:jc w:val="both"/>
        <w:rPr>
          <w:rFonts w:eastAsiaTheme="minorEastAsia"/>
        </w:rPr>
      </w:pPr>
    </w:p>
    <w:p w14:paraId="4C869D0C" w14:textId="0B274923" w:rsidR="000A3A25" w:rsidRDefault="0037697C" w:rsidP="009F6028">
      <w:pPr>
        <w:spacing w:line="480" w:lineRule="auto"/>
        <w:jc w:val="both"/>
        <w:rPr>
          <w:rFonts w:eastAsiaTheme="minorEastAsia"/>
        </w:rPr>
      </w:pPr>
      <w:r>
        <w:rPr>
          <w:rFonts w:eastAsiaTheme="minorEastAsia"/>
        </w:rPr>
        <w:t xml:space="preserve">Surprisingly, a one unit increase in unemployment rate led to a decrease of 11.62 in ORED. This relationship is surprising because </w:t>
      </w:r>
      <w:r w:rsidR="007C5A89">
        <w:rPr>
          <w:rFonts w:eastAsiaTheme="minorEastAsia"/>
        </w:rPr>
        <w:t xml:space="preserve">substance abuse is typically positively correlated with </w:t>
      </w:r>
      <w:r w:rsidR="00D16EFD">
        <w:rPr>
          <w:rFonts w:eastAsiaTheme="minorEastAsia"/>
        </w:rPr>
        <w:t xml:space="preserve">higher </w:t>
      </w:r>
      <w:r w:rsidR="007C5A89">
        <w:rPr>
          <w:rFonts w:eastAsiaTheme="minorEastAsia"/>
        </w:rPr>
        <w:t xml:space="preserve">unemployment rates. </w:t>
      </w:r>
    </w:p>
    <w:p w14:paraId="4618352B" w14:textId="77777777" w:rsidR="008E11ED" w:rsidRDefault="008E11ED" w:rsidP="009F6028">
      <w:pPr>
        <w:spacing w:line="480" w:lineRule="auto"/>
        <w:jc w:val="both"/>
        <w:rPr>
          <w:rFonts w:eastAsiaTheme="minorEastAsia"/>
        </w:rPr>
      </w:pPr>
    </w:p>
    <w:p w14:paraId="5C96F195" w14:textId="687B0CBF" w:rsidR="004D14FC" w:rsidRPr="00886921" w:rsidRDefault="00886921" w:rsidP="003B67F8">
      <w:pPr>
        <w:spacing w:line="480" w:lineRule="auto"/>
        <w:rPr>
          <w:rFonts w:eastAsiaTheme="minorEastAsia"/>
          <w:b/>
          <w:bCs/>
          <w:sz w:val="36"/>
          <w:szCs w:val="36"/>
        </w:rPr>
      </w:pPr>
      <w:r>
        <w:rPr>
          <w:rFonts w:eastAsiaTheme="minorEastAsia"/>
          <w:b/>
          <w:bCs/>
          <w:sz w:val="36"/>
          <w:szCs w:val="36"/>
        </w:rPr>
        <w:t>7</w:t>
      </w:r>
      <w:r w:rsidR="00BC41EC" w:rsidRPr="00886921">
        <w:rPr>
          <w:rFonts w:eastAsiaTheme="minorEastAsia"/>
          <w:b/>
          <w:bCs/>
          <w:sz w:val="36"/>
          <w:szCs w:val="36"/>
        </w:rPr>
        <w:t xml:space="preserve">   </w:t>
      </w:r>
      <w:r w:rsidR="0001715E" w:rsidRPr="00886921">
        <w:rPr>
          <w:rFonts w:eastAsiaTheme="minorEastAsia"/>
          <w:b/>
          <w:bCs/>
          <w:sz w:val="36"/>
          <w:szCs w:val="36"/>
        </w:rPr>
        <w:t>Discussion</w:t>
      </w:r>
      <w:r w:rsidR="00DF3A11">
        <w:rPr>
          <w:rFonts w:eastAsiaTheme="minorEastAsia"/>
          <w:b/>
          <w:bCs/>
          <w:sz w:val="36"/>
          <w:szCs w:val="36"/>
        </w:rPr>
        <w:t xml:space="preserve"> and Conclusion</w:t>
      </w:r>
    </w:p>
    <w:p w14:paraId="5C3B0559" w14:textId="66570DFC" w:rsidR="0001715E" w:rsidRDefault="00145673" w:rsidP="009F6028">
      <w:pPr>
        <w:spacing w:line="480" w:lineRule="auto"/>
        <w:jc w:val="both"/>
        <w:rPr>
          <w:rFonts w:eastAsiaTheme="minorEastAsia"/>
        </w:rPr>
      </w:pPr>
      <w:r>
        <w:rPr>
          <w:rFonts w:eastAsiaTheme="minorEastAsia"/>
        </w:rPr>
        <w:tab/>
      </w:r>
      <w:r w:rsidR="004B4B46">
        <w:rPr>
          <w:rFonts w:eastAsiaTheme="minorEastAsia"/>
        </w:rPr>
        <w:t>When looking at the regression results, it is important to remember that the main outcome variable is being measured in units of per 100,000 people</w:t>
      </w:r>
      <w:r w:rsidR="009B5A18">
        <w:rPr>
          <w:rFonts w:eastAsiaTheme="minorEastAsia"/>
        </w:rPr>
        <w:t xml:space="preserve">, meaning that ORED in expansion States </w:t>
      </w:r>
      <w:r w:rsidR="009B5E58">
        <w:rPr>
          <w:rFonts w:eastAsiaTheme="minorEastAsia"/>
        </w:rPr>
        <w:t>increased</w:t>
      </w:r>
      <w:r w:rsidR="009B5A18">
        <w:rPr>
          <w:rFonts w:eastAsiaTheme="minorEastAsia"/>
        </w:rPr>
        <w:t xml:space="preserve"> by thousands more than non-expansion States. </w:t>
      </w:r>
      <w:r w:rsidR="00FB1FFC">
        <w:rPr>
          <w:rFonts w:eastAsiaTheme="minorEastAsia"/>
        </w:rPr>
        <w:t>These results suggest that current Medicaid policy is having a negative impact on the current opioid crisis</w:t>
      </w:r>
      <w:r w:rsidR="00FB707C">
        <w:rPr>
          <w:rFonts w:eastAsiaTheme="minorEastAsia"/>
        </w:rPr>
        <w:t xml:space="preserve">. While this regression does not specifically answer what about Medicaid expansion is causing higher ORED, </w:t>
      </w:r>
      <w:r w:rsidR="00FB707C">
        <w:rPr>
          <w:rFonts w:eastAsiaTheme="minorEastAsia"/>
        </w:rPr>
        <w:lastRenderedPageBreak/>
        <w:t xml:space="preserve">the results do allow </w:t>
      </w:r>
      <w:r w:rsidR="00DF3A11">
        <w:rPr>
          <w:rFonts w:eastAsiaTheme="minorEastAsia"/>
        </w:rPr>
        <w:t>for speculation</w:t>
      </w:r>
      <w:r w:rsidR="00FB707C">
        <w:rPr>
          <w:rFonts w:eastAsiaTheme="minorEastAsia"/>
        </w:rPr>
        <w:t>. One possible reason for higher ORED in Medicaid expansion States could be that current Medicaid policies allow for easier access to prescription opioids, and that expanded coverage is simply expanding that ease of access to more people</w:t>
      </w:r>
      <w:r w:rsidR="00653257">
        <w:rPr>
          <w:rFonts w:eastAsiaTheme="minorEastAsia"/>
        </w:rPr>
        <w:t xml:space="preserve">. </w:t>
      </w:r>
      <w:r w:rsidR="000519EF">
        <w:rPr>
          <w:rFonts w:eastAsiaTheme="minorEastAsia"/>
        </w:rPr>
        <w:t xml:space="preserve">A possible solution to this issue could involve new legislature to </w:t>
      </w:r>
      <w:r w:rsidR="00D2346A">
        <w:rPr>
          <w:rFonts w:eastAsiaTheme="minorEastAsia"/>
        </w:rPr>
        <w:t>limit</w:t>
      </w:r>
      <w:r w:rsidR="000519EF">
        <w:rPr>
          <w:rFonts w:eastAsiaTheme="minorEastAsia"/>
        </w:rPr>
        <w:t xml:space="preserve"> the treatment of certain conditions with opioids, such as chronic pain. </w:t>
      </w:r>
      <w:r w:rsidR="00D2346A">
        <w:rPr>
          <w:rFonts w:eastAsiaTheme="minorEastAsia"/>
        </w:rPr>
        <w:t>One issue that may arise from a solution such as this one is that legislators would need to decide whether the benefits of being able to treat more patients in pain with opioids at an affordable cost outweigh</w:t>
      </w:r>
      <w:r w:rsidR="00DF3A11">
        <w:rPr>
          <w:rFonts w:eastAsiaTheme="minorEastAsia"/>
        </w:rPr>
        <w:t>s</w:t>
      </w:r>
      <w:r w:rsidR="00D2346A">
        <w:rPr>
          <w:rFonts w:eastAsiaTheme="minorEastAsia"/>
        </w:rPr>
        <w:t xml:space="preserve"> the cost of higher ORED. </w:t>
      </w:r>
    </w:p>
    <w:p w14:paraId="12B14204" w14:textId="584D1470" w:rsidR="00D4585A" w:rsidRDefault="00D4585A" w:rsidP="009F6028">
      <w:pPr>
        <w:spacing w:line="480" w:lineRule="auto"/>
        <w:jc w:val="both"/>
        <w:rPr>
          <w:rFonts w:eastAsiaTheme="minorEastAsia"/>
        </w:rPr>
      </w:pPr>
      <w:r>
        <w:rPr>
          <w:rFonts w:eastAsiaTheme="minorEastAsia"/>
        </w:rPr>
        <w:tab/>
      </w:r>
      <w:r w:rsidR="0069637B">
        <w:rPr>
          <w:rFonts w:eastAsiaTheme="minorEastAsia"/>
        </w:rPr>
        <w:t xml:space="preserve">Although the results of my regression are significant, </w:t>
      </w:r>
      <w:r>
        <w:rPr>
          <w:rFonts w:eastAsiaTheme="minorEastAsia"/>
        </w:rPr>
        <w:t xml:space="preserve">this study does contain some limitations. The main limitation of this study is that it only looks at half of the States in the U.S due to incomplete ORED data. </w:t>
      </w:r>
      <w:r w:rsidR="0069637B">
        <w:rPr>
          <w:rFonts w:eastAsiaTheme="minorEastAsia"/>
        </w:rPr>
        <w:t xml:space="preserve">It is possible that States suffering more from the opioid crisis have more data than States that are not as impacted, which would have a positive bias effect on my results and make my results appear larger than they really are. </w:t>
      </w:r>
      <w:r w:rsidR="009A0AFA">
        <w:rPr>
          <w:rFonts w:eastAsiaTheme="minorEastAsia"/>
        </w:rPr>
        <w:t>Additionally, this paper does not include a full pre-trends analysis. Although the data appear to have similar pre-trends, there are some slight differences in the outcome data before Medicaid expansion policies took effect, which if significant, woul</w:t>
      </w:r>
      <w:r w:rsidR="00D71A99">
        <w:rPr>
          <w:rFonts w:eastAsiaTheme="minorEastAsia"/>
        </w:rPr>
        <w:t xml:space="preserve">d not allow us to determine whether Medicaid expansion had any effect on ORED. </w:t>
      </w:r>
    </w:p>
    <w:p w14:paraId="776F568A" w14:textId="6C0EA983" w:rsidR="00A10DF5" w:rsidRPr="009F6028" w:rsidRDefault="00D71A99" w:rsidP="009F6028">
      <w:pPr>
        <w:spacing w:line="480" w:lineRule="auto"/>
        <w:jc w:val="both"/>
        <w:rPr>
          <w:rFonts w:eastAsiaTheme="minorEastAsia"/>
        </w:rPr>
      </w:pPr>
      <w:r>
        <w:rPr>
          <w:rFonts w:eastAsiaTheme="minorEastAsia"/>
        </w:rPr>
        <w:tab/>
      </w:r>
      <w:r w:rsidR="00163342">
        <w:rPr>
          <w:rFonts w:eastAsiaTheme="minorEastAsia"/>
        </w:rPr>
        <w:t xml:space="preserve">The aim of this paper was to determine whether Medicaid expansion had a significant impact on opioid-related emergency department deaths and the opioid crisis as a whole. </w:t>
      </w:r>
      <w:r w:rsidR="00944853">
        <w:rPr>
          <w:rFonts w:eastAsiaTheme="minorEastAsia"/>
        </w:rPr>
        <w:t xml:space="preserve">The results within suggest there is some aspect of Medicaid expansion which is in fact contributing to higher rates of opioid-related emergency department visits. My hope is that these results </w:t>
      </w:r>
      <w:r w:rsidR="0089466F">
        <w:rPr>
          <w:rFonts w:eastAsiaTheme="minorEastAsia"/>
        </w:rPr>
        <w:t xml:space="preserve">shed light on some of the contributing factors to the opioid crisis, and that </w:t>
      </w:r>
      <w:r w:rsidR="00EC3AE0">
        <w:rPr>
          <w:rFonts w:eastAsiaTheme="minorEastAsia"/>
        </w:rPr>
        <w:t>these results are another step closer to solving an issue that has impacted the lives of millions of Americans.</w:t>
      </w:r>
      <w:r w:rsidR="00A10DF5">
        <w:rPr>
          <w:rFonts w:eastAsiaTheme="minorEastAsia"/>
          <w:b/>
          <w:bCs/>
        </w:rPr>
        <w:br w:type="page"/>
      </w:r>
    </w:p>
    <w:p w14:paraId="734A9653" w14:textId="72DBDB0C" w:rsidR="000F7ED8" w:rsidRDefault="000F7ED8" w:rsidP="00FC6C49">
      <w:pPr>
        <w:spacing w:line="480" w:lineRule="auto"/>
        <w:jc w:val="center"/>
        <w:rPr>
          <w:rFonts w:eastAsiaTheme="minorEastAsia"/>
          <w:b/>
          <w:bCs/>
        </w:rPr>
      </w:pPr>
      <w:r w:rsidRPr="004D14FC">
        <w:rPr>
          <w:rFonts w:eastAsiaTheme="minorEastAsia"/>
          <w:b/>
          <w:bCs/>
        </w:rPr>
        <w:lastRenderedPageBreak/>
        <w:t>Works Cited</w:t>
      </w:r>
    </w:p>
    <w:p w14:paraId="0E047DE8" w14:textId="77777777" w:rsidR="00FC6C49" w:rsidRPr="004D14FC" w:rsidRDefault="00FC6C49" w:rsidP="00FC6C49">
      <w:pPr>
        <w:spacing w:line="480" w:lineRule="auto"/>
        <w:jc w:val="center"/>
        <w:rPr>
          <w:rFonts w:eastAsiaTheme="minorEastAsia"/>
          <w:b/>
          <w:bCs/>
        </w:rPr>
      </w:pPr>
    </w:p>
    <w:p w14:paraId="74356BE7" w14:textId="77777777" w:rsidR="004D14FC" w:rsidRPr="006E3F8D" w:rsidRDefault="004D14FC" w:rsidP="004D14FC">
      <w:pPr>
        <w:rPr>
          <w:rFonts w:ascii="Times New Roman" w:eastAsia="Times New Roman" w:hAnsi="Times New Roman" w:cs="Times New Roman"/>
          <w:color w:val="000000" w:themeColor="text1"/>
        </w:rPr>
      </w:pPr>
      <w:r w:rsidRPr="006E3F8D">
        <w:rPr>
          <w:rFonts w:ascii="Times New Roman" w:eastAsia="Times New Roman" w:hAnsi="Times New Roman" w:cs="Times New Roman"/>
          <w:color w:val="000000" w:themeColor="text1"/>
          <w:shd w:val="clear" w:color="auto" w:fill="FFFFFF"/>
        </w:rPr>
        <w:t xml:space="preserve">Buckley, </w:t>
      </w:r>
      <w:proofErr w:type="spellStart"/>
      <w:r w:rsidRPr="006E3F8D">
        <w:rPr>
          <w:rFonts w:ascii="Times New Roman" w:eastAsia="Times New Roman" w:hAnsi="Times New Roman" w:cs="Times New Roman"/>
          <w:color w:val="000000" w:themeColor="text1"/>
          <w:shd w:val="clear" w:color="auto" w:fill="FFFFFF"/>
        </w:rPr>
        <w:t>P.f</w:t>
      </w:r>
      <w:proofErr w:type="spellEnd"/>
      <w:r w:rsidRPr="006E3F8D">
        <w:rPr>
          <w:rFonts w:ascii="Times New Roman" w:eastAsia="Times New Roman" w:hAnsi="Times New Roman" w:cs="Times New Roman"/>
          <w:color w:val="000000" w:themeColor="text1"/>
          <w:shd w:val="clear" w:color="auto" w:fill="FFFFFF"/>
        </w:rPr>
        <w:t xml:space="preserve">. “Risks for Possible and Probable Opioid Misuse among Recipients of Chronic </w:t>
      </w:r>
      <w:r w:rsidRPr="006E3F8D">
        <w:rPr>
          <w:rFonts w:ascii="Times New Roman" w:eastAsia="Times New Roman" w:hAnsi="Times New Roman" w:cs="Times New Roman"/>
          <w:color w:val="000000" w:themeColor="text1"/>
          <w:shd w:val="clear" w:color="auto" w:fill="FFFFFF"/>
        </w:rPr>
        <w:tab/>
        <w:t xml:space="preserve">Opioid Therapy in Commercial and Medicaid Insurance Plans: The TROUP </w:t>
      </w:r>
      <w:r w:rsidRPr="006E3F8D">
        <w:rPr>
          <w:rFonts w:ascii="Times New Roman" w:eastAsia="Times New Roman" w:hAnsi="Times New Roman" w:cs="Times New Roman"/>
          <w:color w:val="000000" w:themeColor="text1"/>
          <w:shd w:val="clear" w:color="auto" w:fill="FFFFFF"/>
        </w:rPr>
        <w:tab/>
        <w:t>Study.” </w:t>
      </w:r>
      <w:r w:rsidRPr="006E3F8D">
        <w:rPr>
          <w:rFonts w:ascii="Times New Roman" w:eastAsia="Times New Roman" w:hAnsi="Times New Roman" w:cs="Times New Roman"/>
          <w:i/>
          <w:iCs/>
          <w:color w:val="000000" w:themeColor="text1"/>
        </w:rPr>
        <w:t>Yearbook of Psychiatry and Applied Mental Health</w:t>
      </w:r>
      <w:r w:rsidRPr="006E3F8D">
        <w:rPr>
          <w:rFonts w:ascii="Times New Roman" w:eastAsia="Times New Roman" w:hAnsi="Times New Roman" w:cs="Times New Roman"/>
          <w:color w:val="000000" w:themeColor="text1"/>
          <w:shd w:val="clear" w:color="auto" w:fill="FFFFFF"/>
        </w:rPr>
        <w:t>, vol. 2012, 2012, pp. 143–</w:t>
      </w:r>
      <w:r w:rsidRPr="006E3F8D">
        <w:rPr>
          <w:rFonts w:ascii="Times New Roman" w:eastAsia="Times New Roman" w:hAnsi="Times New Roman" w:cs="Times New Roman"/>
          <w:color w:val="000000" w:themeColor="text1"/>
          <w:shd w:val="clear" w:color="auto" w:fill="FFFFFF"/>
        </w:rPr>
        <w:tab/>
        <w:t xml:space="preserve">146., </w:t>
      </w:r>
      <w:proofErr w:type="gramStart"/>
      <w:r w:rsidRPr="006E3F8D">
        <w:rPr>
          <w:rFonts w:ascii="Times New Roman" w:eastAsia="Times New Roman" w:hAnsi="Times New Roman" w:cs="Times New Roman"/>
          <w:color w:val="000000" w:themeColor="text1"/>
          <w:shd w:val="clear" w:color="auto" w:fill="FFFFFF"/>
        </w:rPr>
        <w:t>doi:10.1016/j.ypsy</w:t>
      </w:r>
      <w:proofErr w:type="gramEnd"/>
      <w:r w:rsidRPr="006E3F8D">
        <w:rPr>
          <w:rFonts w:ascii="Times New Roman" w:eastAsia="Times New Roman" w:hAnsi="Times New Roman" w:cs="Times New Roman"/>
          <w:color w:val="000000" w:themeColor="text1"/>
          <w:shd w:val="clear" w:color="auto" w:fill="FFFFFF"/>
        </w:rPr>
        <w:t>.2010.11.018.</w:t>
      </w:r>
    </w:p>
    <w:p w14:paraId="59CBA2E7" w14:textId="77777777" w:rsidR="004D14FC" w:rsidRPr="006E3F8D" w:rsidRDefault="004D14FC" w:rsidP="00943F56">
      <w:pPr>
        <w:rPr>
          <w:rFonts w:ascii="Times New Roman" w:eastAsia="Times New Roman" w:hAnsi="Times New Roman" w:cs="Times New Roman"/>
          <w:color w:val="000000" w:themeColor="text1"/>
          <w:shd w:val="clear" w:color="auto" w:fill="FFFFFF"/>
        </w:rPr>
      </w:pPr>
    </w:p>
    <w:p w14:paraId="70F5EE0E" w14:textId="228650F9" w:rsidR="00943F56" w:rsidRPr="006E3F8D" w:rsidRDefault="00943F56" w:rsidP="00943F56">
      <w:pPr>
        <w:rPr>
          <w:rFonts w:ascii="Times New Roman" w:eastAsia="Times New Roman" w:hAnsi="Times New Roman" w:cs="Times New Roman"/>
          <w:color w:val="000000" w:themeColor="text1"/>
          <w:shd w:val="clear" w:color="auto" w:fill="FFFFFF"/>
        </w:rPr>
      </w:pPr>
      <w:r w:rsidRPr="006E3F8D">
        <w:rPr>
          <w:rFonts w:ascii="Times New Roman" w:eastAsia="Times New Roman" w:hAnsi="Times New Roman" w:cs="Times New Roman"/>
          <w:color w:val="000000" w:themeColor="text1"/>
          <w:shd w:val="clear" w:color="auto" w:fill="FFFFFF"/>
        </w:rPr>
        <w:t xml:space="preserve">Courtemanche, Charles, et al. “The Affordable Care Act and Ambulance Response </w:t>
      </w:r>
      <w:r w:rsidRPr="006E3F8D">
        <w:rPr>
          <w:rFonts w:ascii="Times New Roman" w:eastAsia="Times New Roman" w:hAnsi="Times New Roman" w:cs="Times New Roman"/>
          <w:color w:val="000000" w:themeColor="text1"/>
          <w:shd w:val="clear" w:color="auto" w:fill="FFFFFF"/>
        </w:rPr>
        <w:tab/>
        <w:t>Times.” </w:t>
      </w:r>
      <w:r w:rsidRPr="006E3F8D">
        <w:rPr>
          <w:rFonts w:ascii="Times New Roman" w:eastAsia="Times New Roman" w:hAnsi="Times New Roman" w:cs="Times New Roman"/>
          <w:i/>
          <w:iCs/>
          <w:color w:val="000000" w:themeColor="text1"/>
        </w:rPr>
        <w:t>SSRN Electronic Journal</w:t>
      </w:r>
      <w:r w:rsidRPr="006E3F8D">
        <w:rPr>
          <w:rFonts w:ascii="Times New Roman" w:eastAsia="Times New Roman" w:hAnsi="Times New Roman" w:cs="Times New Roman"/>
          <w:color w:val="000000" w:themeColor="text1"/>
          <w:shd w:val="clear" w:color="auto" w:fill="FFFFFF"/>
        </w:rPr>
        <w:t>, 2017, doi:10.2139/ssrn.3051788.</w:t>
      </w:r>
    </w:p>
    <w:p w14:paraId="15DD1E6D" w14:textId="5EE4F764" w:rsidR="004D14FC" w:rsidRPr="006E3F8D" w:rsidRDefault="004D14FC" w:rsidP="00943F56">
      <w:pPr>
        <w:rPr>
          <w:rFonts w:ascii="Times New Roman" w:eastAsia="Times New Roman" w:hAnsi="Times New Roman" w:cs="Times New Roman"/>
          <w:color w:val="000000" w:themeColor="text1"/>
          <w:shd w:val="clear" w:color="auto" w:fill="FFFFFF"/>
        </w:rPr>
      </w:pPr>
    </w:p>
    <w:p w14:paraId="6ACA33A7" w14:textId="77777777" w:rsidR="004D14FC" w:rsidRPr="006E3F8D" w:rsidRDefault="004D14FC" w:rsidP="004D14FC">
      <w:pPr>
        <w:rPr>
          <w:rFonts w:ascii="Times New Roman" w:eastAsia="Times New Roman" w:hAnsi="Times New Roman" w:cs="Times New Roman"/>
          <w:color w:val="000000" w:themeColor="text1"/>
        </w:rPr>
      </w:pPr>
      <w:r w:rsidRPr="006E3F8D">
        <w:rPr>
          <w:rFonts w:ascii="Times New Roman" w:eastAsia="Times New Roman" w:hAnsi="Times New Roman" w:cs="Times New Roman"/>
          <w:color w:val="000000" w:themeColor="text1"/>
          <w:shd w:val="clear" w:color="auto" w:fill="FFFFFF"/>
        </w:rPr>
        <w:t xml:space="preserve">Ghosh, </w:t>
      </w:r>
      <w:proofErr w:type="spellStart"/>
      <w:r w:rsidRPr="006E3F8D">
        <w:rPr>
          <w:rFonts w:ascii="Times New Roman" w:eastAsia="Times New Roman" w:hAnsi="Times New Roman" w:cs="Times New Roman"/>
          <w:color w:val="000000" w:themeColor="text1"/>
          <w:shd w:val="clear" w:color="auto" w:fill="FFFFFF"/>
        </w:rPr>
        <w:t>Ausmita</w:t>
      </w:r>
      <w:proofErr w:type="spellEnd"/>
      <w:r w:rsidRPr="006E3F8D">
        <w:rPr>
          <w:rFonts w:ascii="Times New Roman" w:eastAsia="Times New Roman" w:hAnsi="Times New Roman" w:cs="Times New Roman"/>
          <w:color w:val="000000" w:themeColor="text1"/>
          <w:shd w:val="clear" w:color="auto" w:fill="FFFFFF"/>
        </w:rPr>
        <w:t xml:space="preserve">, et al. “The Effect of State Medicaid Expansions on Prescription Drug Use: </w:t>
      </w:r>
      <w:r w:rsidRPr="006E3F8D">
        <w:rPr>
          <w:rFonts w:ascii="Times New Roman" w:eastAsia="Times New Roman" w:hAnsi="Times New Roman" w:cs="Times New Roman"/>
          <w:color w:val="000000" w:themeColor="text1"/>
          <w:shd w:val="clear" w:color="auto" w:fill="FFFFFF"/>
        </w:rPr>
        <w:tab/>
        <w:t>Evidence from the Affordable Care Act.” 2017, doi:10.3386/w23044.</w:t>
      </w:r>
    </w:p>
    <w:p w14:paraId="523B82D6" w14:textId="77777777" w:rsidR="00943F56" w:rsidRPr="006E3F8D" w:rsidRDefault="00943F56" w:rsidP="00943F56">
      <w:pPr>
        <w:rPr>
          <w:rFonts w:ascii="Times New Roman" w:eastAsia="Times New Roman" w:hAnsi="Times New Roman" w:cs="Times New Roman"/>
          <w:color w:val="000000" w:themeColor="text1"/>
        </w:rPr>
      </w:pPr>
    </w:p>
    <w:p w14:paraId="374A40B7" w14:textId="7F57FDA5" w:rsidR="00E729DD" w:rsidRPr="006E3F8D" w:rsidRDefault="00E729DD" w:rsidP="00E729DD">
      <w:pPr>
        <w:rPr>
          <w:rFonts w:ascii="Times New Roman" w:eastAsia="Times New Roman" w:hAnsi="Times New Roman" w:cs="Times New Roman"/>
          <w:color w:val="000000" w:themeColor="text1"/>
          <w:shd w:val="clear" w:color="auto" w:fill="FFFFFF"/>
        </w:rPr>
      </w:pPr>
      <w:r w:rsidRPr="006E3F8D">
        <w:rPr>
          <w:rFonts w:ascii="Times New Roman" w:eastAsia="Times New Roman" w:hAnsi="Times New Roman" w:cs="Times New Roman"/>
          <w:color w:val="000000" w:themeColor="text1"/>
          <w:shd w:val="clear" w:color="auto" w:fill="FFFFFF"/>
        </w:rPr>
        <w:t xml:space="preserve">Kowalski, Amanda. “The Early Impact of the Affordable Care Act State-By-State.” 2014, </w:t>
      </w:r>
      <w:r w:rsidRPr="006E3F8D">
        <w:rPr>
          <w:rFonts w:ascii="Times New Roman" w:eastAsia="Times New Roman" w:hAnsi="Times New Roman" w:cs="Times New Roman"/>
          <w:color w:val="000000" w:themeColor="text1"/>
          <w:shd w:val="clear" w:color="auto" w:fill="FFFFFF"/>
        </w:rPr>
        <w:tab/>
        <w:t>doi:10.3386/w20597.</w:t>
      </w:r>
    </w:p>
    <w:p w14:paraId="6DAAA9A9" w14:textId="77777777" w:rsidR="0097297E" w:rsidRPr="006E3F8D" w:rsidRDefault="0097297E" w:rsidP="00E729DD">
      <w:pPr>
        <w:rPr>
          <w:rFonts w:ascii="Times New Roman" w:eastAsia="Times New Roman" w:hAnsi="Times New Roman" w:cs="Times New Roman"/>
          <w:color w:val="000000" w:themeColor="text1"/>
          <w:shd w:val="clear" w:color="auto" w:fill="FFFFFF"/>
        </w:rPr>
      </w:pPr>
    </w:p>
    <w:p w14:paraId="5BDE6F12" w14:textId="78F5489D" w:rsidR="0097297E" w:rsidRPr="006E3F8D" w:rsidRDefault="0097297E" w:rsidP="0097297E">
      <w:pPr>
        <w:rPr>
          <w:rFonts w:ascii="Times New Roman" w:eastAsia="Times New Roman" w:hAnsi="Times New Roman" w:cs="Times New Roman"/>
          <w:color w:val="000000" w:themeColor="text1"/>
        </w:rPr>
      </w:pPr>
      <w:r w:rsidRPr="006E3F8D">
        <w:rPr>
          <w:rFonts w:ascii="Times New Roman" w:eastAsia="Times New Roman" w:hAnsi="Times New Roman" w:cs="Times New Roman"/>
          <w:color w:val="000000" w:themeColor="text1"/>
          <w:shd w:val="clear" w:color="auto" w:fill="FFFFFF"/>
        </w:rPr>
        <w:t xml:space="preserve">Lyon, Sarah M et al. “Medicaid expansion under the Affordable Care Act. Implications for </w:t>
      </w:r>
      <w:r w:rsidRPr="006E3F8D">
        <w:rPr>
          <w:rFonts w:ascii="Times New Roman" w:eastAsia="Times New Roman" w:hAnsi="Times New Roman" w:cs="Times New Roman"/>
          <w:color w:val="000000" w:themeColor="text1"/>
          <w:shd w:val="clear" w:color="auto" w:fill="FFFFFF"/>
        </w:rPr>
        <w:tab/>
        <w:t xml:space="preserve">insurance-related disparities in pulmonary, critical care, and sleep.” Annals of the </w:t>
      </w:r>
      <w:r w:rsidRPr="006E3F8D">
        <w:rPr>
          <w:rFonts w:ascii="Times New Roman" w:eastAsia="Times New Roman" w:hAnsi="Times New Roman" w:cs="Times New Roman"/>
          <w:color w:val="000000" w:themeColor="text1"/>
          <w:shd w:val="clear" w:color="auto" w:fill="FFFFFF"/>
        </w:rPr>
        <w:tab/>
        <w:t>American Thoracic Society vol. 11,4 (2014): 661-7. doi:10.1513/AnnalsATS.201402-</w:t>
      </w:r>
      <w:r w:rsidRPr="006E3F8D">
        <w:rPr>
          <w:rFonts w:ascii="Times New Roman" w:eastAsia="Times New Roman" w:hAnsi="Times New Roman" w:cs="Times New Roman"/>
          <w:color w:val="000000" w:themeColor="text1"/>
          <w:shd w:val="clear" w:color="auto" w:fill="FFFFFF"/>
        </w:rPr>
        <w:tab/>
        <w:t>072PS</w:t>
      </w:r>
    </w:p>
    <w:p w14:paraId="1134A9D8" w14:textId="2FC1916D" w:rsidR="00A85D0A" w:rsidRPr="006E3F8D" w:rsidRDefault="00A85D0A" w:rsidP="00A85D0A">
      <w:pPr>
        <w:rPr>
          <w:rFonts w:ascii="Times New Roman" w:eastAsia="Times New Roman" w:hAnsi="Times New Roman" w:cs="Times New Roman"/>
          <w:color w:val="000000" w:themeColor="text1"/>
        </w:rPr>
      </w:pPr>
    </w:p>
    <w:p w14:paraId="05CA1F3C" w14:textId="479CB92D" w:rsidR="00A85D0A" w:rsidRDefault="003D68D4" w:rsidP="004D14FC">
      <w:pPr>
        <w:rPr>
          <w:rFonts w:ascii="Times New Roman" w:eastAsia="Times New Roman" w:hAnsi="Times New Roman" w:cs="Times New Roman"/>
          <w:color w:val="000000" w:themeColor="text1"/>
          <w:shd w:val="clear" w:color="auto" w:fill="FFFFFF"/>
        </w:rPr>
      </w:pPr>
      <w:r w:rsidRPr="006E3F8D">
        <w:rPr>
          <w:rFonts w:ascii="Times New Roman" w:eastAsia="Times New Roman" w:hAnsi="Times New Roman" w:cs="Times New Roman"/>
          <w:color w:val="000000" w:themeColor="text1"/>
          <w:shd w:val="clear" w:color="auto" w:fill="FFFFFF"/>
        </w:rPr>
        <w:t>“National Healthcare Quality and Disparities Reports.” </w:t>
      </w:r>
      <w:r w:rsidRPr="006E3F8D">
        <w:rPr>
          <w:rFonts w:ascii="Times New Roman" w:eastAsia="Times New Roman" w:hAnsi="Times New Roman" w:cs="Times New Roman"/>
          <w:i/>
          <w:iCs/>
          <w:color w:val="000000" w:themeColor="text1"/>
        </w:rPr>
        <w:t>NHQDR Web Site - Opioids Page</w:t>
      </w:r>
      <w:r w:rsidRPr="006E3F8D">
        <w:rPr>
          <w:rFonts w:ascii="Times New Roman" w:eastAsia="Times New Roman" w:hAnsi="Times New Roman" w:cs="Times New Roman"/>
          <w:color w:val="000000" w:themeColor="text1"/>
          <w:shd w:val="clear" w:color="auto" w:fill="FFFFFF"/>
        </w:rPr>
        <w:t xml:space="preserve">, </w:t>
      </w:r>
      <w:r w:rsidRPr="006E3F8D">
        <w:rPr>
          <w:rFonts w:ascii="Times New Roman" w:eastAsia="Times New Roman" w:hAnsi="Times New Roman" w:cs="Times New Roman"/>
          <w:color w:val="000000" w:themeColor="text1"/>
          <w:shd w:val="clear" w:color="auto" w:fill="FFFFFF"/>
        </w:rPr>
        <w:tab/>
      </w:r>
      <w:hyperlink r:id="rId9" w:history="1">
        <w:r w:rsidR="004D14FC" w:rsidRPr="006E3F8D">
          <w:rPr>
            <w:rStyle w:val="Hyperlink"/>
            <w:rFonts w:ascii="Times New Roman" w:eastAsia="Times New Roman" w:hAnsi="Times New Roman" w:cs="Times New Roman"/>
            <w:color w:val="000000" w:themeColor="text1"/>
            <w:shd w:val="clear" w:color="auto" w:fill="FFFFFF"/>
          </w:rPr>
          <w:t>https://nhqrnet.ahrq.gov/inhqrdr/opioids/opioids</w:t>
        </w:r>
      </w:hyperlink>
      <w:r w:rsidRPr="006E3F8D">
        <w:rPr>
          <w:rFonts w:ascii="Times New Roman" w:eastAsia="Times New Roman" w:hAnsi="Times New Roman" w:cs="Times New Roman"/>
          <w:color w:val="000000" w:themeColor="text1"/>
          <w:shd w:val="clear" w:color="auto" w:fill="FFFFFF"/>
        </w:rPr>
        <w:t>.</w:t>
      </w:r>
    </w:p>
    <w:p w14:paraId="0D232015" w14:textId="72F50CE8" w:rsidR="004D14FC" w:rsidRPr="006E3F8D" w:rsidRDefault="006E3F8D" w:rsidP="006E3F8D">
      <w:pPr>
        <w:pStyle w:val="NormalWeb"/>
        <w:ind w:left="567" w:hanging="567"/>
        <w:rPr>
          <w:color w:val="000000" w:themeColor="text1"/>
        </w:rPr>
      </w:pPr>
      <w:r w:rsidRPr="006E3F8D">
        <w:rPr>
          <w:color w:val="000000" w:themeColor="text1"/>
        </w:rPr>
        <w:t xml:space="preserve">National Institute on Drug Abuse. “Fentanyl and Other Synthetic Opioids Drug Overdose Deaths.” </w:t>
      </w:r>
      <w:r w:rsidRPr="006E3F8D">
        <w:rPr>
          <w:i/>
          <w:iCs/>
          <w:color w:val="000000" w:themeColor="text1"/>
        </w:rPr>
        <w:t>NIDA</w:t>
      </w:r>
      <w:r w:rsidRPr="006E3F8D">
        <w:rPr>
          <w:color w:val="000000" w:themeColor="text1"/>
        </w:rPr>
        <w:t>, 29 May 2018, www.drugabuse.gov/related-topics/trends-statistics/infographics/fentanyl-other-synthetic-opioids-drug-overdose-deaths.</w:t>
      </w:r>
    </w:p>
    <w:p w14:paraId="447E89FA" w14:textId="6ABF6FA7" w:rsidR="00ED4A34" w:rsidRPr="006E3F8D" w:rsidRDefault="003D68D4" w:rsidP="00732CDE">
      <w:pPr>
        <w:rPr>
          <w:rFonts w:ascii="Times New Roman" w:eastAsia="Times New Roman" w:hAnsi="Times New Roman" w:cs="Times New Roman"/>
          <w:color w:val="000000" w:themeColor="text1"/>
          <w:shd w:val="clear" w:color="auto" w:fill="FFFFFF"/>
        </w:rPr>
      </w:pPr>
      <w:r w:rsidRPr="006E3F8D">
        <w:rPr>
          <w:rFonts w:ascii="Times New Roman" w:eastAsia="Times New Roman" w:hAnsi="Times New Roman" w:cs="Times New Roman"/>
          <w:color w:val="000000" w:themeColor="text1"/>
          <w:shd w:val="clear" w:color="auto" w:fill="FFFFFF"/>
        </w:rPr>
        <w:t>“Opioid Basics.” </w:t>
      </w:r>
      <w:r w:rsidRPr="006E3F8D">
        <w:rPr>
          <w:rFonts w:ascii="Times New Roman" w:eastAsia="Times New Roman" w:hAnsi="Times New Roman" w:cs="Times New Roman"/>
          <w:i/>
          <w:iCs/>
          <w:color w:val="000000" w:themeColor="text1"/>
        </w:rPr>
        <w:t>Centers for Disease Control and Prevention</w:t>
      </w:r>
      <w:r w:rsidRPr="006E3F8D">
        <w:rPr>
          <w:rFonts w:ascii="Times New Roman" w:eastAsia="Times New Roman" w:hAnsi="Times New Roman" w:cs="Times New Roman"/>
          <w:color w:val="000000" w:themeColor="text1"/>
          <w:shd w:val="clear" w:color="auto" w:fill="FFFFFF"/>
        </w:rPr>
        <w:t xml:space="preserve">, Centers for Disease Control and </w:t>
      </w:r>
      <w:r w:rsidRPr="006E3F8D">
        <w:rPr>
          <w:rFonts w:ascii="Times New Roman" w:eastAsia="Times New Roman" w:hAnsi="Times New Roman" w:cs="Times New Roman"/>
          <w:color w:val="000000" w:themeColor="text1"/>
          <w:shd w:val="clear" w:color="auto" w:fill="FFFFFF"/>
        </w:rPr>
        <w:tab/>
        <w:t xml:space="preserve">Prevention, 19 Dec. 2018, </w:t>
      </w:r>
      <w:hyperlink r:id="rId10" w:history="1">
        <w:r w:rsidR="0097297E" w:rsidRPr="006E3F8D">
          <w:rPr>
            <w:rStyle w:val="Hyperlink"/>
            <w:rFonts w:ascii="Times New Roman" w:eastAsia="Times New Roman" w:hAnsi="Times New Roman" w:cs="Times New Roman"/>
            <w:color w:val="000000" w:themeColor="text1"/>
            <w:shd w:val="clear" w:color="auto" w:fill="FFFFFF"/>
          </w:rPr>
          <w:t>https://www.cdc.gov/drugoverdose/opioids/index.html</w:t>
        </w:r>
      </w:hyperlink>
      <w:r w:rsidRPr="006E3F8D">
        <w:rPr>
          <w:rFonts w:ascii="Times New Roman" w:eastAsia="Times New Roman" w:hAnsi="Times New Roman" w:cs="Times New Roman"/>
          <w:color w:val="000000" w:themeColor="text1"/>
          <w:shd w:val="clear" w:color="auto" w:fill="FFFFFF"/>
        </w:rPr>
        <w:t>.</w:t>
      </w:r>
    </w:p>
    <w:p w14:paraId="3928680A" w14:textId="3688F924" w:rsidR="006A16E2" w:rsidRPr="00714905" w:rsidRDefault="006A16E2" w:rsidP="004711A7">
      <w:pPr>
        <w:spacing w:line="480" w:lineRule="auto"/>
      </w:pPr>
    </w:p>
    <w:sectPr w:rsidR="006A16E2" w:rsidRPr="00714905" w:rsidSect="00C35C0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79923" w14:textId="77777777" w:rsidR="00AE3879" w:rsidRDefault="00AE3879" w:rsidP="00886921">
      <w:r>
        <w:separator/>
      </w:r>
    </w:p>
  </w:endnote>
  <w:endnote w:type="continuationSeparator" w:id="0">
    <w:p w14:paraId="0F3820FD" w14:textId="77777777" w:rsidR="00AE3879" w:rsidRDefault="00AE3879" w:rsidP="0088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329593"/>
      <w:docPartObj>
        <w:docPartGallery w:val="Page Numbers (Bottom of Page)"/>
        <w:docPartUnique/>
      </w:docPartObj>
    </w:sdtPr>
    <w:sdtEndPr>
      <w:rPr>
        <w:rStyle w:val="PageNumber"/>
      </w:rPr>
    </w:sdtEndPr>
    <w:sdtContent>
      <w:p w14:paraId="0FAA345F" w14:textId="36370EAB" w:rsidR="00E64A76" w:rsidRDefault="00E64A76" w:rsidP="00294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BB3B6" w14:textId="77777777" w:rsidR="00E64A76" w:rsidRDefault="00E64A76" w:rsidP="00E64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952572"/>
      <w:docPartObj>
        <w:docPartGallery w:val="Page Numbers (Bottom of Page)"/>
        <w:docPartUnique/>
      </w:docPartObj>
    </w:sdtPr>
    <w:sdtEndPr>
      <w:rPr>
        <w:rStyle w:val="PageNumber"/>
      </w:rPr>
    </w:sdtEndPr>
    <w:sdtContent>
      <w:p w14:paraId="18DF060A" w14:textId="32476012" w:rsidR="00E64A76" w:rsidRDefault="00E64A76" w:rsidP="00294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DC1A04" w14:textId="77777777" w:rsidR="00E64A76" w:rsidRDefault="00E64A76" w:rsidP="00E64A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5A31" w14:textId="77777777" w:rsidR="00AE3879" w:rsidRDefault="00AE3879" w:rsidP="00886921">
      <w:r>
        <w:separator/>
      </w:r>
    </w:p>
  </w:footnote>
  <w:footnote w:type="continuationSeparator" w:id="0">
    <w:p w14:paraId="1B6CBF3A" w14:textId="77777777" w:rsidR="00AE3879" w:rsidRDefault="00AE3879" w:rsidP="00886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104E"/>
    <w:multiLevelType w:val="hybridMultilevel"/>
    <w:tmpl w:val="6682F47C"/>
    <w:lvl w:ilvl="0" w:tplc="DF322436">
      <w:start w:val="1"/>
      <w:numFmt w:val="bullet"/>
      <w:lvlText w:val="•"/>
      <w:lvlJc w:val="left"/>
      <w:pPr>
        <w:tabs>
          <w:tab w:val="num" w:pos="720"/>
        </w:tabs>
        <w:ind w:left="720" w:hanging="360"/>
      </w:pPr>
      <w:rPr>
        <w:rFonts w:ascii="Arial" w:hAnsi="Arial" w:hint="default"/>
      </w:rPr>
    </w:lvl>
    <w:lvl w:ilvl="1" w:tplc="8CE4942C" w:tentative="1">
      <w:start w:val="1"/>
      <w:numFmt w:val="bullet"/>
      <w:lvlText w:val="•"/>
      <w:lvlJc w:val="left"/>
      <w:pPr>
        <w:tabs>
          <w:tab w:val="num" w:pos="1440"/>
        </w:tabs>
        <w:ind w:left="1440" w:hanging="360"/>
      </w:pPr>
      <w:rPr>
        <w:rFonts w:ascii="Arial" w:hAnsi="Arial" w:hint="default"/>
      </w:rPr>
    </w:lvl>
    <w:lvl w:ilvl="2" w:tplc="CF7697E2" w:tentative="1">
      <w:start w:val="1"/>
      <w:numFmt w:val="bullet"/>
      <w:lvlText w:val="•"/>
      <w:lvlJc w:val="left"/>
      <w:pPr>
        <w:tabs>
          <w:tab w:val="num" w:pos="2160"/>
        </w:tabs>
        <w:ind w:left="2160" w:hanging="360"/>
      </w:pPr>
      <w:rPr>
        <w:rFonts w:ascii="Arial" w:hAnsi="Arial" w:hint="default"/>
      </w:rPr>
    </w:lvl>
    <w:lvl w:ilvl="3" w:tplc="40FEA71A" w:tentative="1">
      <w:start w:val="1"/>
      <w:numFmt w:val="bullet"/>
      <w:lvlText w:val="•"/>
      <w:lvlJc w:val="left"/>
      <w:pPr>
        <w:tabs>
          <w:tab w:val="num" w:pos="2880"/>
        </w:tabs>
        <w:ind w:left="2880" w:hanging="360"/>
      </w:pPr>
      <w:rPr>
        <w:rFonts w:ascii="Arial" w:hAnsi="Arial" w:hint="default"/>
      </w:rPr>
    </w:lvl>
    <w:lvl w:ilvl="4" w:tplc="0E042D56" w:tentative="1">
      <w:start w:val="1"/>
      <w:numFmt w:val="bullet"/>
      <w:lvlText w:val="•"/>
      <w:lvlJc w:val="left"/>
      <w:pPr>
        <w:tabs>
          <w:tab w:val="num" w:pos="3600"/>
        </w:tabs>
        <w:ind w:left="3600" w:hanging="360"/>
      </w:pPr>
      <w:rPr>
        <w:rFonts w:ascii="Arial" w:hAnsi="Arial" w:hint="default"/>
      </w:rPr>
    </w:lvl>
    <w:lvl w:ilvl="5" w:tplc="B300B6F2" w:tentative="1">
      <w:start w:val="1"/>
      <w:numFmt w:val="bullet"/>
      <w:lvlText w:val="•"/>
      <w:lvlJc w:val="left"/>
      <w:pPr>
        <w:tabs>
          <w:tab w:val="num" w:pos="4320"/>
        </w:tabs>
        <w:ind w:left="4320" w:hanging="360"/>
      </w:pPr>
      <w:rPr>
        <w:rFonts w:ascii="Arial" w:hAnsi="Arial" w:hint="default"/>
      </w:rPr>
    </w:lvl>
    <w:lvl w:ilvl="6" w:tplc="0DBEB244" w:tentative="1">
      <w:start w:val="1"/>
      <w:numFmt w:val="bullet"/>
      <w:lvlText w:val="•"/>
      <w:lvlJc w:val="left"/>
      <w:pPr>
        <w:tabs>
          <w:tab w:val="num" w:pos="5040"/>
        </w:tabs>
        <w:ind w:left="5040" w:hanging="360"/>
      </w:pPr>
      <w:rPr>
        <w:rFonts w:ascii="Arial" w:hAnsi="Arial" w:hint="default"/>
      </w:rPr>
    </w:lvl>
    <w:lvl w:ilvl="7" w:tplc="91088200" w:tentative="1">
      <w:start w:val="1"/>
      <w:numFmt w:val="bullet"/>
      <w:lvlText w:val="•"/>
      <w:lvlJc w:val="left"/>
      <w:pPr>
        <w:tabs>
          <w:tab w:val="num" w:pos="5760"/>
        </w:tabs>
        <w:ind w:left="5760" w:hanging="360"/>
      </w:pPr>
      <w:rPr>
        <w:rFonts w:ascii="Arial" w:hAnsi="Arial" w:hint="default"/>
      </w:rPr>
    </w:lvl>
    <w:lvl w:ilvl="8" w:tplc="B6DA82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C55C9B"/>
    <w:multiLevelType w:val="hybridMultilevel"/>
    <w:tmpl w:val="D9E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65"/>
    <w:rsid w:val="00003E00"/>
    <w:rsid w:val="00012FAB"/>
    <w:rsid w:val="000168B1"/>
    <w:rsid w:val="0001715E"/>
    <w:rsid w:val="000250C2"/>
    <w:rsid w:val="00047214"/>
    <w:rsid w:val="000519EF"/>
    <w:rsid w:val="000607A9"/>
    <w:rsid w:val="00062DB8"/>
    <w:rsid w:val="00075F23"/>
    <w:rsid w:val="00082165"/>
    <w:rsid w:val="000A3A25"/>
    <w:rsid w:val="000B7BE8"/>
    <w:rsid w:val="000D5B3A"/>
    <w:rsid w:val="000F204A"/>
    <w:rsid w:val="000F7ED8"/>
    <w:rsid w:val="00105A1C"/>
    <w:rsid w:val="00114B10"/>
    <w:rsid w:val="00122CBE"/>
    <w:rsid w:val="00132F26"/>
    <w:rsid w:val="0013438D"/>
    <w:rsid w:val="00145673"/>
    <w:rsid w:val="00152045"/>
    <w:rsid w:val="00162B29"/>
    <w:rsid w:val="00163342"/>
    <w:rsid w:val="001743BE"/>
    <w:rsid w:val="00192542"/>
    <w:rsid w:val="001D72EE"/>
    <w:rsid w:val="001F1DA1"/>
    <w:rsid w:val="00202331"/>
    <w:rsid w:val="00230D1B"/>
    <w:rsid w:val="00232FAE"/>
    <w:rsid w:val="00241F37"/>
    <w:rsid w:val="00244E1C"/>
    <w:rsid w:val="00252DF4"/>
    <w:rsid w:val="00274F0C"/>
    <w:rsid w:val="002C24C0"/>
    <w:rsid w:val="002C2B81"/>
    <w:rsid w:val="002C4515"/>
    <w:rsid w:val="002E4FD7"/>
    <w:rsid w:val="00304A82"/>
    <w:rsid w:val="00304D62"/>
    <w:rsid w:val="0034300E"/>
    <w:rsid w:val="00357735"/>
    <w:rsid w:val="003724B2"/>
    <w:rsid w:val="00374808"/>
    <w:rsid w:val="0037697C"/>
    <w:rsid w:val="003A0285"/>
    <w:rsid w:val="003B67F8"/>
    <w:rsid w:val="003B7EF9"/>
    <w:rsid w:val="003C3738"/>
    <w:rsid w:val="003C6463"/>
    <w:rsid w:val="003D68D4"/>
    <w:rsid w:val="00400990"/>
    <w:rsid w:val="00410742"/>
    <w:rsid w:val="00417521"/>
    <w:rsid w:val="00422A65"/>
    <w:rsid w:val="00442E55"/>
    <w:rsid w:val="00444770"/>
    <w:rsid w:val="004711A7"/>
    <w:rsid w:val="0047314B"/>
    <w:rsid w:val="004754E9"/>
    <w:rsid w:val="004B4B46"/>
    <w:rsid w:val="004D14FC"/>
    <w:rsid w:val="004D6387"/>
    <w:rsid w:val="004D7929"/>
    <w:rsid w:val="004E3365"/>
    <w:rsid w:val="005050CA"/>
    <w:rsid w:val="00506A31"/>
    <w:rsid w:val="00513533"/>
    <w:rsid w:val="0051463E"/>
    <w:rsid w:val="00524C04"/>
    <w:rsid w:val="00554BC8"/>
    <w:rsid w:val="005A1330"/>
    <w:rsid w:val="005C5886"/>
    <w:rsid w:val="005D4C2A"/>
    <w:rsid w:val="005E26C4"/>
    <w:rsid w:val="006108B2"/>
    <w:rsid w:val="00625144"/>
    <w:rsid w:val="00653257"/>
    <w:rsid w:val="00653B32"/>
    <w:rsid w:val="00656E82"/>
    <w:rsid w:val="00663E6A"/>
    <w:rsid w:val="0069173D"/>
    <w:rsid w:val="0069637B"/>
    <w:rsid w:val="006A16E2"/>
    <w:rsid w:val="006A4749"/>
    <w:rsid w:val="006C0D22"/>
    <w:rsid w:val="006D1320"/>
    <w:rsid w:val="006E3F8D"/>
    <w:rsid w:val="006E5021"/>
    <w:rsid w:val="006F118A"/>
    <w:rsid w:val="006F1E80"/>
    <w:rsid w:val="00713685"/>
    <w:rsid w:val="00714905"/>
    <w:rsid w:val="00722626"/>
    <w:rsid w:val="00732CDE"/>
    <w:rsid w:val="00735A3B"/>
    <w:rsid w:val="0076165F"/>
    <w:rsid w:val="00767B00"/>
    <w:rsid w:val="00772D04"/>
    <w:rsid w:val="00773704"/>
    <w:rsid w:val="00773B3E"/>
    <w:rsid w:val="0077474C"/>
    <w:rsid w:val="007832D7"/>
    <w:rsid w:val="00790C8A"/>
    <w:rsid w:val="00794DF2"/>
    <w:rsid w:val="007B386B"/>
    <w:rsid w:val="007C5A89"/>
    <w:rsid w:val="007C5F6B"/>
    <w:rsid w:val="007F51B1"/>
    <w:rsid w:val="0082509F"/>
    <w:rsid w:val="008369C1"/>
    <w:rsid w:val="00837F7B"/>
    <w:rsid w:val="00841B7F"/>
    <w:rsid w:val="00851BE3"/>
    <w:rsid w:val="00883725"/>
    <w:rsid w:val="00886921"/>
    <w:rsid w:val="0089466F"/>
    <w:rsid w:val="008A0DBB"/>
    <w:rsid w:val="008C300D"/>
    <w:rsid w:val="008E038A"/>
    <w:rsid w:val="008E11ED"/>
    <w:rsid w:val="008E2E2A"/>
    <w:rsid w:val="008E3844"/>
    <w:rsid w:val="008E7D7C"/>
    <w:rsid w:val="00914E76"/>
    <w:rsid w:val="00920447"/>
    <w:rsid w:val="009244EB"/>
    <w:rsid w:val="00925CF1"/>
    <w:rsid w:val="00943F56"/>
    <w:rsid w:val="00944853"/>
    <w:rsid w:val="00950CF2"/>
    <w:rsid w:val="0097297E"/>
    <w:rsid w:val="009A037C"/>
    <w:rsid w:val="009A0AFA"/>
    <w:rsid w:val="009B5A18"/>
    <w:rsid w:val="009B5E58"/>
    <w:rsid w:val="009B6530"/>
    <w:rsid w:val="009D13C7"/>
    <w:rsid w:val="009D6E69"/>
    <w:rsid w:val="009E25E7"/>
    <w:rsid w:val="009F6028"/>
    <w:rsid w:val="00A10DF5"/>
    <w:rsid w:val="00A12497"/>
    <w:rsid w:val="00A22A97"/>
    <w:rsid w:val="00A30548"/>
    <w:rsid w:val="00A30C90"/>
    <w:rsid w:val="00A4478E"/>
    <w:rsid w:val="00A458BC"/>
    <w:rsid w:val="00A6053B"/>
    <w:rsid w:val="00A76414"/>
    <w:rsid w:val="00A81781"/>
    <w:rsid w:val="00A85D0A"/>
    <w:rsid w:val="00AB7DA3"/>
    <w:rsid w:val="00AE3879"/>
    <w:rsid w:val="00B033CE"/>
    <w:rsid w:val="00B222F0"/>
    <w:rsid w:val="00B22499"/>
    <w:rsid w:val="00B2724A"/>
    <w:rsid w:val="00B31D94"/>
    <w:rsid w:val="00B32402"/>
    <w:rsid w:val="00B366BD"/>
    <w:rsid w:val="00B8207B"/>
    <w:rsid w:val="00B92E65"/>
    <w:rsid w:val="00BA1B73"/>
    <w:rsid w:val="00BB0077"/>
    <w:rsid w:val="00BB3BC6"/>
    <w:rsid w:val="00BB7D25"/>
    <w:rsid w:val="00BB7E14"/>
    <w:rsid w:val="00BC41EC"/>
    <w:rsid w:val="00BD3206"/>
    <w:rsid w:val="00BF2AC9"/>
    <w:rsid w:val="00C2619D"/>
    <w:rsid w:val="00C35C05"/>
    <w:rsid w:val="00C5760A"/>
    <w:rsid w:val="00C63FB8"/>
    <w:rsid w:val="00C71DA1"/>
    <w:rsid w:val="00C818DF"/>
    <w:rsid w:val="00CA50A9"/>
    <w:rsid w:val="00CD438A"/>
    <w:rsid w:val="00CE7D57"/>
    <w:rsid w:val="00CF7542"/>
    <w:rsid w:val="00D111A6"/>
    <w:rsid w:val="00D16EFD"/>
    <w:rsid w:val="00D17724"/>
    <w:rsid w:val="00D2346A"/>
    <w:rsid w:val="00D41E3D"/>
    <w:rsid w:val="00D4407B"/>
    <w:rsid w:val="00D4585A"/>
    <w:rsid w:val="00D45D15"/>
    <w:rsid w:val="00D634CD"/>
    <w:rsid w:val="00D71A99"/>
    <w:rsid w:val="00DB191D"/>
    <w:rsid w:val="00DB1E22"/>
    <w:rsid w:val="00DD4CCB"/>
    <w:rsid w:val="00DD51BC"/>
    <w:rsid w:val="00DF3A11"/>
    <w:rsid w:val="00E07245"/>
    <w:rsid w:val="00E154FC"/>
    <w:rsid w:val="00E21746"/>
    <w:rsid w:val="00E50B4F"/>
    <w:rsid w:val="00E53623"/>
    <w:rsid w:val="00E5488C"/>
    <w:rsid w:val="00E55FC3"/>
    <w:rsid w:val="00E61129"/>
    <w:rsid w:val="00E64A76"/>
    <w:rsid w:val="00E729DD"/>
    <w:rsid w:val="00E76AD9"/>
    <w:rsid w:val="00E8736B"/>
    <w:rsid w:val="00E91663"/>
    <w:rsid w:val="00E9298E"/>
    <w:rsid w:val="00EA0C66"/>
    <w:rsid w:val="00EB3689"/>
    <w:rsid w:val="00EC3AE0"/>
    <w:rsid w:val="00ED4A34"/>
    <w:rsid w:val="00EF3004"/>
    <w:rsid w:val="00F24E3B"/>
    <w:rsid w:val="00F76FAB"/>
    <w:rsid w:val="00FB04CC"/>
    <w:rsid w:val="00FB1FFC"/>
    <w:rsid w:val="00FB707C"/>
    <w:rsid w:val="00FC6C49"/>
    <w:rsid w:val="00FE73BA"/>
    <w:rsid w:val="00FF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CB3E"/>
  <w15:chartTrackingRefBased/>
  <w15:docId w15:val="{BEFBD537-0A20-CE4E-88FE-55757DFA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F23"/>
    <w:pPr>
      <w:ind w:left="720"/>
      <w:contextualSpacing/>
    </w:pPr>
  </w:style>
  <w:style w:type="character" w:styleId="Hyperlink">
    <w:name w:val="Hyperlink"/>
    <w:basedOn w:val="DefaultParagraphFont"/>
    <w:uiPriority w:val="99"/>
    <w:unhideWhenUsed/>
    <w:rsid w:val="004D14FC"/>
    <w:rPr>
      <w:color w:val="0563C1" w:themeColor="hyperlink"/>
      <w:u w:val="single"/>
    </w:rPr>
  </w:style>
  <w:style w:type="character" w:styleId="UnresolvedMention">
    <w:name w:val="Unresolved Mention"/>
    <w:basedOn w:val="DefaultParagraphFont"/>
    <w:uiPriority w:val="99"/>
    <w:semiHidden/>
    <w:unhideWhenUsed/>
    <w:rsid w:val="004D14FC"/>
    <w:rPr>
      <w:color w:val="605E5C"/>
      <w:shd w:val="clear" w:color="auto" w:fill="E1DFDD"/>
    </w:rPr>
  </w:style>
  <w:style w:type="character" w:styleId="FollowedHyperlink">
    <w:name w:val="FollowedHyperlink"/>
    <w:basedOn w:val="DefaultParagraphFont"/>
    <w:uiPriority w:val="99"/>
    <w:semiHidden/>
    <w:unhideWhenUsed/>
    <w:rsid w:val="00524C04"/>
    <w:rPr>
      <w:color w:val="954F72" w:themeColor="followedHyperlink"/>
      <w:u w:val="single"/>
    </w:rPr>
  </w:style>
  <w:style w:type="paragraph" w:styleId="NormalWeb">
    <w:name w:val="Normal (Web)"/>
    <w:basedOn w:val="Normal"/>
    <w:uiPriority w:val="99"/>
    <w:unhideWhenUsed/>
    <w:rsid w:val="00524C0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60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028"/>
    <w:rPr>
      <w:rFonts w:ascii="Times New Roman" w:hAnsi="Times New Roman" w:cs="Times New Roman"/>
      <w:sz w:val="18"/>
      <w:szCs w:val="18"/>
    </w:rPr>
  </w:style>
  <w:style w:type="paragraph" w:styleId="Header">
    <w:name w:val="header"/>
    <w:basedOn w:val="Normal"/>
    <w:link w:val="HeaderChar"/>
    <w:uiPriority w:val="99"/>
    <w:unhideWhenUsed/>
    <w:rsid w:val="00886921"/>
    <w:pPr>
      <w:tabs>
        <w:tab w:val="center" w:pos="4680"/>
        <w:tab w:val="right" w:pos="9360"/>
      </w:tabs>
    </w:pPr>
  </w:style>
  <w:style w:type="character" w:customStyle="1" w:styleId="HeaderChar">
    <w:name w:val="Header Char"/>
    <w:basedOn w:val="DefaultParagraphFont"/>
    <w:link w:val="Header"/>
    <w:uiPriority w:val="99"/>
    <w:rsid w:val="00886921"/>
  </w:style>
  <w:style w:type="paragraph" w:styleId="Footer">
    <w:name w:val="footer"/>
    <w:basedOn w:val="Normal"/>
    <w:link w:val="FooterChar"/>
    <w:uiPriority w:val="99"/>
    <w:unhideWhenUsed/>
    <w:rsid w:val="00886921"/>
    <w:pPr>
      <w:tabs>
        <w:tab w:val="center" w:pos="4680"/>
        <w:tab w:val="right" w:pos="9360"/>
      </w:tabs>
    </w:pPr>
  </w:style>
  <w:style w:type="character" w:customStyle="1" w:styleId="FooterChar">
    <w:name w:val="Footer Char"/>
    <w:basedOn w:val="DefaultParagraphFont"/>
    <w:link w:val="Footer"/>
    <w:uiPriority w:val="99"/>
    <w:rsid w:val="00886921"/>
  </w:style>
  <w:style w:type="table" w:styleId="TableGrid">
    <w:name w:val="Table Grid"/>
    <w:basedOn w:val="TableNormal"/>
    <w:uiPriority w:val="39"/>
    <w:rsid w:val="005C5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6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749">
      <w:bodyDiv w:val="1"/>
      <w:marLeft w:val="0"/>
      <w:marRight w:val="0"/>
      <w:marTop w:val="0"/>
      <w:marBottom w:val="0"/>
      <w:divBdr>
        <w:top w:val="none" w:sz="0" w:space="0" w:color="auto"/>
        <w:left w:val="none" w:sz="0" w:space="0" w:color="auto"/>
        <w:bottom w:val="none" w:sz="0" w:space="0" w:color="auto"/>
        <w:right w:val="none" w:sz="0" w:space="0" w:color="auto"/>
      </w:divBdr>
      <w:divsChild>
        <w:div w:id="1883320864">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367948734">
      <w:bodyDiv w:val="1"/>
      <w:marLeft w:val="0"/>
      <w:marRight w:val="0"/>
      <w:marTop w:val="0"/>
      <w:marBottom w:val="0"/>
      <w:divBdr>
        <w:top w:val="none" w:sz="0" w:space="0" w:color="auto"/>
        <w:left w:val="none" w:sz="0" w:space="0" w:color="auto"/>
        <w:bottom w:val="none" w:sz="0" w:space="0" w:color="auto"/>
        <w:right w:val="none" w:sz="0" w:space="0" w:color="auto"/>
      </w:divBdr>
    </w:div>
    <w:div w:id="386295490">
      <w:bodyDiv w:val="1"/>
      <w:marLeft w:val="0"/>
      <w:marRight w:val="0"/>
      <w:marTop w:val="0"/>
      <w:marBottom w:val="0"/>
      <w:divBdr>
        <w:top w:val="none" w:sz="0" w:space="0" w:color="auto"/>
        <w:left w:val="none" w:sz="0" w:space="0" w:color="auto"/>
        <w:bottom w:val="none" w:sz="0" w:space="0" w:color="auto"/>
        <w:right w:val="none" w:sz="0" w:space="0" w:color="auto"/>
      </w:divBdr>
    </w:div>
    <w:div w:id="612789596">
      <w:bodyDiv w:val="1"/>
      <w:marLeft w:val="0"/>
      <w:marRight w:val="0"/>
      <w:marTop w:val="0"/>
      <w:marBottom w:val="0"/>
      <w:divBdr>
        <w:top w:val="none" w:sz="0" w:space="0" w:color="auto"/>
        <w:left w:val="none" w:sz="0" w:space="0" w:color="auto"/>
        <w:bottom w:val="none" w:sz="0" w:space="0" w:color="auto"/>
        <w:right w:val="none" w:sz="0" w:space="0" w:color="auto"/>
      </w:divBdr>
    </w:div>
    <w:div w:id="647323361">
      <w:bodyDiv w:val="1"/>
      <w:marLeft w:val="0"/>
      <w:marRight w:val="0"/>
      <w:marTop w:val="0"/>
      <w:marBottom w:val="0"/>
      <w:divBdr>
        <w:top w:val="none" w:sz="0" w:space="0" w:color="auto"/>
        <w:left w:val="none" w:sz="0" w:space="0" w:color="auto"/>
        <w:bottom w:val="none" w:sz="0" w:space="0" w:color="auto"/>
        <w:right w:val="none" w:sz="0" w:space="0" w:color="auto"/>
      </w:divBdr>
    </w:div>
    <w:div w:id="899173000">
      <w:bodyDiv w:val="1"/>
      <w:marLeft w:val="0"/>
      <w:marRight w:val="0"/>
      <w:marTop w:val="0"/>
      <w:marBottom w:val="0"/>
      <w:divBdr>
        <w:top w:val="none" w:sz="0" w:space="0" w:color="auto"/>
        <w:left w:val="none" w:sz="0" w:space="0" w:color="auto"/>
        <w:bottom w:val="none" w:sz="0" w:space="0" w:color="auto"/>
        <w:right w:val="none" w:sz="0" w:space="0" w:color="auto"/>
      </w:divBdr>
    </w:div>
    <w:div w:id="969481175">
      <w:bodyDiv w:val="1"/>
      <w:marLeft w:val="0"/>
      <w:marRight w:val="0"/>
      <w:marTop w:val="0"/>
      <w:marBottom w:val="0"/>
      <w:divBdr>
        <w:top w:val="none" w:sz="0" w:space="0" w:color="auto"/>
        <w:left w:val="none" w:sz="0" w:space="0" w:color="auto"/>
        <w:bottom w:val="none" w:sz="0" w:space="0" w:color="auto"/>
        <w:right w:val="none" w:sz="0" w:space="0" w:color="auto"/>
      </w:divBdr>
    </w:div>
    <w:div w:id="1078288610">
      <w:bodyDiv w:val="1"/>
      <w:marLeft w:val="0"/>
      <w:marRight w:val="0"/>
      <w:marTop w:val="0"/>
      <w:marBottom w:val="0"/>
      <w:divBdr>
        <w:top w:val="none" w:sz="0" w:space="0" w:color="auto"/>
        <w:left w:val="none" w:sz="0" w:space="0" w:color="auto"/>
        <w:bottom w:val="none" w:sz="0" w:space="0" w:color="auto"/>
        <w:right w:val="none" w:sz="0" w:space="0" w:color="auto"/>
      </w:divBdr>
    </w:div>
    <w:div w:id="1120683755">
      <w:bodyDiv w:val="1"/>
      <w:marLeft w:val="0"/>
      <w:marRight w:val="0"/>
      <w:marTop w:val="0"/>
      <w:marBottom w:val="0"/>
      <w:divBdr>
        <w:top w:val="none" w:sz="0" w:space="0" w:color="auto"/>
        <w:left w:val="none" w:sz="0" w:space="0" w:color="auto"/>
        <w:bottom w:val="none" w:sz="0" w:space="0" w:color="auto"/>
        <w:right w:val="none" w:sz="0" w:space="0" w:color="auto"/>
      </w:divBdr>
    </w:div>
    <w:div w:id="1134712043">
      <w:bodyDiv w:val="1"/>
      <w:marLeft w:val="0"/>
      <w:marRight w:val="0"/>
      <w:marTop w:val="0"/>
      <w:marBottom w:val="0"/>
      <w:divBdr>
        <w:top w:val="none" w:sz="0" w:space="0" w:color="auto"/>
        <w:left w:val="none" w:sz="0" w:space="0" w:color="auto"/>
        <w:bottom w:val="none" w:sz="0" w:space="0" w:color="auto"/>
        <w:right w:val="none" w:sz="0" w:space="0" w:color="auto"/>
      </w:divBdr>
    </w:div>
    <w:div w:id="1330330850">
      <w:bodyDiv w:val="1"/>
      <w:marLeft w:val="0"/>
      <w:marRight w:val="0"/>
      <w:marTop w:val="0"/>
      <w:marBottom w:val="0"/>
      <w:divBdr>
        <w:top w:val="none" w:sz="0" w:space="0" w:color="auto"/>
        <w:left w:val="none" w:sz="0" w:space="0" w:color="auto"/>
        <w:bottom w:val="none" w:sz="0" w:space="0" w:color="auto"/>
        <w:right w:val="none" w:sz="0" w:space="0" w:color="auto"/>
      </w:divBdr>
      <w:divsChild>
        <w:div w:id="1077436568">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334065123">
      <w:bodyDiv w:val="1"/>
      <w:marLeft w:val="0"/>
      <w:marRight w:val="0"/>
      <w:marTop w:val="0"/>
      <w:marBottom w:val="0"/>
      <w:divBdr>
        <w:top w:val="none" w:sz="0" w:space="0" w:color="auto"/>
        <w:left w:val="none" w:sz="0" w:space="0" w:color="auto"/>
        <w:bottom w:val="none" w:sz="0" w:space="0" w:color="auto"/>
        <w:right w:val="none" w:sz="0" w:space="0" w:color="auto"/>
      </w:divBdr>
      <w:divsChild>
        <w:div w:id="598683577">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421872286">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sChild>
        <w:div w:id="669985867">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776945306">
      <w:bodyDiv w:val="1"/>
      <w:marLeft w:val="0"/>
      <w:marRight w:val="0"/>
      <w:marTop w:val="0"/>
      <w:marBottom w:val="0"/>
      <w:divBdr>
        <w:top w:val="none" w:sz="0" w:space="0" w:color="auto"/>
        <w:left w:val="none" w:sz="0" w:space="0" w:color="auto"/>
        <w:bottom w:val="none" w:sz="0" w:space="0" w:color="auto"/>
        <w:right w:val="none" w:sz="0" w:space="0" w:color="auto"/>
      </w:divBdr>
      <w:divsChild>
        <w:div w:id="1700620478">
          <w:marLeft w:val="360"/>
          <w:marRight w:val="0"/>
          <w:marTop w:val="200"/>
          <w:marBottom w:val="0"/>
          <w:divBdr>
            <w:top w:val="none" w:sz="0" w:space="0" w:color="auto"/>
            <w:left w:val="none" w:sz="0" w:space="0" w:color="auto"/>
            <w:bottom w:val="none" w:sz="0" w:space="0" w:color="auto"/>
            <w:right w:val="none" w:sz="0" w:space="0" w:color="auto"/>
          </w:divBdr>
        </w:div>
      </w:divsChild>
    </w:div>
    <w:div w:id="1917592928">
      <w:bodyDiv w:val="1"/>
      <w:marLeft w:val="0"/>
      <w:marRight w:val="0"/>
      <w:marTop w:val="0"/>
      <w:marBottom w:val="0"/>
      <w:divBdr>
        <w:top w:val="none" w:sz="0" w:space="0" w:color="auto"/>
        <w:left w:val="none" w:sz="0" w:space="0" w:color="auto"/>
        <w:bottom w:val="none" w:sz="0" w:space="0" w:color="auto"/>
        <w:right w:val="none" w:sz="0" w:space="0" w:color="auto"/>
      </w:divBdr>
    </w:div>
    <w:div w:id="2021852789">
      <w:bodyDiv w:val="1"/>
      <w:marLeft w:val="0"/>
      <w:marRight w:val="0"/>
      <w:marTop w:val="0"/>
      <w:marBottom w:val="0"/>
      <w:divBdr>
        <w:top w:val="none" w:sz="0" w:space="0" w:color="auto"/>
        <w:left w:val="none" w:sz="0" w:space="0" w:color="auto"/>
        <w:bottom w:val="none" w:sz="0" w:space="0" w:color="auto"/>
        <w:right w:val="none" w:sz="0" w:space="0" w:color="auto"/>
      </w:divBdr>
      <w:divsChild>
        <w:div w:id="320431739">
          <w:marLeft w:val="0"/>
          <w:marRight w:val="-13770"/>
          <w:marTop w:val="0"/>
          <w:marBottom w:val="0"/>
          <w:divBdr>
            <w:top w:val="none" w:sz="0" w:space="0" w:color="auto"/>
            <w:left w:val="none" w:sz="0" w:space="0" w:color="auto"/>
            <w:bottom w:val="none" w:sz="0" w:space="0" w:color="auto"/>
            <w:right w:val="none" w:sz="0" w:space="0" w:color="auto"/>
          </w:divBdr>
        </w:div>
        <w:div w:id="327833819">
          <w:marLeft w:val="0"/>
          <w:marRight w:val="-13770"/>
          <w:marTop w:val="0"/>
          <w:marBottom w:val="0"/>
          <w:divBdr>
            <w:top w:val="none" w:sz="0" w:space="0" w:color="auto"/>
            <w:left w:val="none" w:sz="0" w:space="0" w:color="auto"/>
            <w:bottom w:val="none" w:sz="0" w:space="0" w:color="auto"/>
            <w:right w:val="none" w:sz="0" w:space="0" w:color="auto"/>
          </w:divBdr>
        </w:div>
        <w:div w:id="2091347869">
          <w:marLeft w:val="0"/>
          <w:marRight w:val="-13770"/>
          <w:marTop w:val="0"/>
          <w:marBottom w:val="0"/>
          <w:divBdr>
            <w:top w:val="none" w:sz="0" w:space="0" w:color="auto"/>
            <w:left w:val="none" w:sz="0" w:space="0" w:color="auto"/>
            <w:bottom w:val="none" w:sz="0" w:space="0" w:color="auto"/>
            <w:right w:val="none" w:sz="0" w:space="0" w:color="auto"/>
          </w:divBdr>
        </w:div>
        <w:div w:id="1978491820">
          <w:marLeft w:val="0"/>
          <w:marRight w:val="-13770"/>
          <w:marTop w:val="0"/>
          <w:marBottom w:val="0"/>
          <w:divBdr>
            <w:top w:val="none" w:sz="0" w:space="0" w:color="auto"/>
            <w:left w:val="none" w:sz="0" w:space="0" w:color="auto"/>
            <w:bottom w:val="none" w:sz="0" w:space="0" w:color="auto"/>
            <w:right w:val="none" w:sz="0" w:space="0" w:color="auto"/>
          </w:divBdr>
        </w:div>
        <w:div w:id="1476485867">
          <w:marLeft w:val="0"/>
          <w:marRight w:val="-13770"/>
          <w:marTop w:val="0"/>
          <w:marBottom w:val="0"/>
          <w:divBdr>
            <w:top w:val="none" w:sz="0" w:space="0" w:color="auto"/>
            <w:left w:val="none" w:sz="0" w:space="0" w:color="auto"/>
            <w:bottom w:val="none" w:sz="0" w:space="0" w:color="auto"/>
            <w:right w:val="none" w:sz="0" w:space="0" w:color="auto"/>
          </w:divBdr>
        </w:div>
        <w:div w:id="1806697231">
          <w:marLeft w:val="0"/>
          <w:marRight w:val="-13770"/>
          <w:marTop w:val="0"/>
          <w:marBottom w:val="0"/>
          <w:divBdr>
            <w:top w:val="none" w:sz="0" w:space="0" w:color="auto"/>
            <w:left w:val="none" w:sz="0" w:space="0" w:color="auto"/>
            <w:bottom w:val="none" w:sz="0" w:space="0" w:color="auto"/>
            <w:right w:val="none" w:sz="0" w:space="0" w:color="auto"/>
          </w:divBdr>
        </w:div>
        <w:div w:id="1583833021">
          <w:marLeft w:val="0"/>
          <w:marRight w:val="-13770"/>
          <w:marTop w:val="0"/>
          <w:marBottom w:val="0"/>
          <w:divBdr>
            <w:top w:val="none" w:sz="0" w:space="0" w:color="auto"/>
            <w:left w:val="none" w:sz="0" w:space="0" w:color="auto"/>
            <w:bottom w:val="none" w:sz="0" w:space="0" w:color="auto"/>
            <w:right w:val="none" w:sz="0" w:space="0" w:color="auto"/>
          </w:divBdr>
        </w:div>
        <w:div w:id="1811941320">
          <w:marLeft w:val="0"/>
          <w:marRight w:val="-13770"/>
          <w:marTop w:val="0"/>
          <w:marBottom w:val="0"/>
          <w:divBdr>
            <w:top w:val="none" w:sz="0" w:space="0" w:color="auto"/>
            <w:left w:val="none" w:sz="0" w:space="0" w:color="auto"/>
            <w:bottom w:val="none" w:sz="0" w:space="0" w:color="auto"/>
            <w:right w:val="none" w:sz="0" w:space="0" w:color="auto"/>
          </w:divBdr>
        </w:div>
        <w:div w:id="94176351">
          <w:marLeft w:val="0"/>
          <w:marRight w:val="-13770"/>
          <w:marTop w:val="0"/>
          <w:marBottom w:val="0"/>
          <w:divBdr>
            <w:top w:val="none" w:sz="0" w:space="0" w:color="auto"/>
            <w:left w:val="none" w:sz="0" w:space="0" w:color="auto"/>
            <w:bottom w:val="none" w:sz="0" w:space="0" w:color="auto"/>
            <w:right w:val="none" w:sz="0" w:space="0" w:color="auto"/>
          </w:divBdr>
        </w:div>
        <w:div w:id="1028994219">
          <w:marLeft w:val="0"/>
          <w:marRight w:val="-13770"/>
          <w:marTop w:val="0"/>
          <w:marBottom w:val="0"/>
          <w:divBdr>
            <w:top w:val="none" w:sz="0" w:space="0" w:color="auto"/>
            <w:left w:val="none" w:sz="0" w:space="0" w:color="auto"/>
            <w:bottom w:val="none" w:sz="0" w:space="0" w:color="auto"/>
            <w:right w:val="none" w:sz="0" w:space="0" w:color="auto"/>
          </w:divBdr>
        </w:div>
        <w:div w:id="417481448">
          <w:marLeft w:val="0"/>
          <w:marRight w:val="-13770"/>
          <w:marTop w:val="0"/>
          <w:marBottom w:val="0"/>
          <w:divBdr>
            <w:top w:val="none" w:sz="0" w:space="0" w:color="auto"/>
            <w:left w:val="none" w:sz="0" w:space="0" w:color="auto"/>
            <w:bottom w:val="none" w:sz="0" w:space="0" w:color="auto"/>
            <w:right w:val="none" w:sz="0" w:space="0" w:color="auto"/>
          </w:divBdr>
        </w:div>
        <w:div w:id="1605914534">
          <w:marLeft w:val="0"/>
          <w:marRight w:val="-13770"/>
          <w:marTop w:val="0"/>
          <w:marBottom w:val="0"/>
          <w:divBdr>
            <w:top w:val="none" w:sz="0" w:space="0" w:color="auto"/>
            <w:left w:val="none" w:sz="0" w:space="0" w:color="auto"/>
            <w:bottom w:val="none" w:sz="0" w:space="0" w:color="auto"/>
            <w:right w:val="none" w:sz="0" w:space="0" w:color="auto"/>
          </w:divBdr>
        </w:div>
        <w:div w:id="1084569514">
          <w:marLeft w:val="0"/>
          <w:marRight w:val="-13770"/>
          <w:marTop w:val="0"/>
          <w:marBottom w:val="0"/>
          <w:divBdr>
            <w:top w:val="none" w:sz="0" w:space="0" w:color="auto"/>
            <w:left w:val="none" w:sz="0" w:space="0" w:color="auto"/>
            <w:bottom w:val="none" w:sz="0" w:space="0" w:color="auto"/>
            <w:right w:val="none" w:sz="0" w:space="0" w:color="auto"/>
          </w:divBdr>
        </w:div>
        <w:div w:id="228462815">
          <w:marLeft w:val="0"/>
          <w:marRight w:val="-13770"/>
          <w:marTop w:val="0"/>
          <w:marBottom w:val="0"/>
          <w:divBdr>
            <w:top w:val="none" w:sz="0" w:space="0" w:color="auto"/>
            <w:left w:val="none" w:sz="0" w:space="0" w:color="auto"/>
            <w:bottom w:val="none" w:sz="0" w:space="0" w:color="auto"/>
            <w:right w:val="none" w:sz="0" w:space="0" w:color="auto"/>
          </w:divBdr>
        </w:div>
        <w:div w:id="1413233943">
          <w:marLeft w:val="0"/>
          <w:marRight w:val="-13770"/>
          <w:marTop w:val="0"/>
          <w:marBottom w:val="0"/>
          <w:divBdr>
            <w:top w:val="none" w:sz="0" w:space="0" w:color="auto"/>
            <w:left w:val="none" w:sz="0" w:space="0" w:color="auto"/>
            <w:bottom w:val="none" w:sz="0" w:space="0" w:color="auto"/>
            <w:right w:val="none" w:sz="0" w:space="0" w:color="auto"/>
          </w:divBdr>
        </w:div>
        <w:div w:id="1188249604">
          <w:marLeft w:val="0"/>
          <w:marRight w:val="-13770"/>
          <w:marTop w:val="0"/>
          <w:marBottom w:val="0"/>
          <w:divBdr>
            <w:top w:val="none" w:sz="0" w:space="0" w:color="auto"/>
            <w:left w:val="none" w:sz="0" w:space="0" w:color="auto"/>
            <w:bottom w:val="none" w:sz="0" w:space="0" w:color="auto"/>
            <w:right w:val="none" w:sz="0" w:space="0" w:color="auto"/>
          </w:divBdr>
        </w:div>
        <w:div w:id="71465496">
          <w:marLeft w:val="0"/>
          <w:marRight w:val="-13770"/>
          <w:marTop w:val="0"/>
          <w:marBottom w:val="0"/>
          <w:divBdr>
            <w:top w:val="none" w:sz="0" w:space="0" w:color="auto"/>
            <w:left w:val="none" w:sz="0" w:space="0" w:color="auto"/>
            <w:bottom w:val="none" w:sz="0" w:space="0" w:color="auto"/>
            <w:right w:val="none" w:sz="0" w:space="0" w:color="auto"/>
          </w:divBdr>
        </w:div>
        <w:div w:id="325785182">
          <w:marLeft w:val="0"/>
          <w:marRight w:val="-13770"/>
          <w:marTop w:val="0"/>
          <w:marBottom w:val="0"/>
          <w:divBdr>
            <w:top w:val="none" w:sz="0" w:space="0" w:color="auto"/>
            <w:left w:val="none" w:sz="0" w:space="0" w:color="auto"/>
            <w:bottom w:val="none" w:sz="0" w:space="0" w:color="auto"/>
            <w:right w:val="none" w:sz="0" w:space="0" w:color="auto"/>
          </w:divBdr>
        </w:div>
        <w:div w:id="290290171">
          <w:marLeft w:val="0"/>
          <w:marRight w:val="-13770"/>
          <w:marTop w:val="0"/>
          <w:marBottom w:val="0"/>
          <w:divBdr>
            <w:top w:val="none" w:sz="0" w:space="0" w:color="auto"/>
            <w:left w:val="none" w:sz="0" w:space="0" w:color="auto"/>
            <w:bottom w:val="none" w:sz="0" w:space="0" w:color="auto"/>
            <w:right w:val="none" w:sz="0" w:space="0" w:color="auto"/>
          </w:divBdr>
        </w:div>
        <w:div w:id="1053844541">
          <w:marLeft w:val="0"/>
          <w:marRight w:val="-13770"/>
          <w:marTop w:val="0"/>
          <w:marBottom w:val="0"/>
          <w:divBdr>
            <w:top w:val="none" w:sz="0" w:space="0" w:color="auto"/>
            <w:left w:val="none" w:sz="0" w:space="0" w:color="auto"/>
            <w:bottom w:val="none" w:sz="0" w:space="0" w:color="auto"/>
            <w:right w:val="none" w:sz="0" w:space="0" w:color="auto"/>
          </w:divBdr>
        </w:div>
        <w:div w:id="448821092">
          <w:marLeft w:val="0"/>
          <w:marRight w:val="-13770"/>
          <w:marTop w:val="0"/>
          <w:marBottom w:val="0"/>
          <w:divBdr>
            <w:top w:val="none" w:sz="0" w:space="0" w:color="auto"/>
            <w:left w:val="none" w:sz="0" w:space="0" w:color="auto"/>
            <w:bottom w:val="none" w:sz="0" w:space="0" w:color="auto"/>
            <w:right w:val="none" w:sz="0" w:space="0" w:color="auto"/>
          </w:divBdr>
        </w:div>
        <w:div w:id="1974486004">
          <w:marLeft w:val="0"/>
          <w:marRight w:val="-13770"/>
          <w:marTop w:val="0"/>
          <w:marBottom w:val="0"/>
          <w:divBdr>
            <w:top w:val="none" w:sz="0" w:space="0" w:color="auto"/>
            <w:left w:val="none" w:sz="0" w:space="0" w:color="auto"/>
            <w:bottom w:val="none" w:sz="0" w:space="0" w:color="auto"/>
            <w:right w:val="none" w:sz="0" w:space="0" w:color="auto"/>
          </w:divBdr>
        </w:div>
        <w:div w:id="31272662">
          <w:marLeft w:val="0"/>
          <w:marRight w:val="-13770"/>
          <w:marTop w:val="0"/>
          <w:marBottom w:val="0"/>
          <w:divBdr>
            <w:top w:val="none" w:sz="0" w:space="0" w:color="auto"/>
            <w:left w:val="none" w:sz="0" w:space="0" w:color="auto"/>
            <w:bottom w:val="none" w:sz="0" w:space="0" w:color="auto"/>
            <w:right w:val="none" w:sz="0" w:space="0" w:color="auto"/>
          </w:divBdr>
        </w:div>
        <w:div w:id="1606962582">
          <w:marLeft w:val="0"/>
          <w:marRight w:val="-13770"/>
          <w:marTop w:val="0"/>
          <w:marBottom w:val="0"/>
          <w:divBdr>
            <w:top w:val="none" w:sz="0" w:space="0" w:color="auto"/>
            <w:left w:val="none" w:sz="0" w:space="0" w:color="auto"/>
            <w:bottom w:val="none" w:sz="0" w:space="0" w:color="auto"/>
            <w:right w:val="none" w:sz="0" w:space="0" w:color="auto"/>
          </w:divBdr>
        </w:div>
        <w:div w:id="389495875">
          <w:marLeft w:val="0"/>
          <w:marRight w:val="-13770"/>
          <w:marTop w:val="0"/>
          <w:marBottom w:val="0"/>
          <w:divBdr>
            <w:top w:val="none" w:sz="0" w:space="0" w:color="auto"/>
            <w:left w:val="none" w:sz="0" w:space="0" w:color="auto"/>
            <w:bottom w:val="none" w:sz="0" w:space="0" w:color="auto"/>
            <w:right w:val="none" w:sz="0" w:space="0" w:color="auto"/>
          </w:divBdr>
        </w:div>
        <w:div w:id="1682203667">
          <w:marLeft w:val="0"/>
          <w:marRight w:val="-13770"/>
          <w:marTop w:val="0"/>
          <w:marBottom w:val="0"/>
          <w:divBdr>
            <w:top w:val="none" w:sz="0" w:space="0" w:color="auto"/>
            <w:left w:val="none" w:sz="0" w:space="0" w:color="auto"/>
            <w:bottom w:val="none" w:sz="0" w:space="0" w:color="auto"/>
            <w:right w:val="none" w:sz="0" w:space="0" w:color="auto"/>
          </w:divBdr>
        </w:div>
        <w:div w:id="1695114360">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drugoverdose/opioids/index.html" TargetMode="External"/><Relationship Id="rId4" Type="http://schemas.openxmlformats.org/officeDocument/2006/relationships/settings" Target="settings.xml"/><Relationship Id="rId9" Type="http://schemas.openxmlformats.org/officeDocument/2006/relationships/hyperlink" Target="https://nhqrnet.ahrq.gov/inhqrdr/opioids/opioid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marcus\Downloads\ThesisSTATA_graphs_Dad%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Opioid</a:t>
            </a:r>
            <a:r>
              <a:rPr lang="en-US" baseline="0"/>
              <a:t> Related Emergency Department Visits per 100,000 Population Over Time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Sheet1!$M$240</c:f>
              <c:strCache>
                <c:ptCount val="1"/>
                <c:pt idx="0">
                  <c:v>Medicaid Expansion</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Sheet1!$N$239:$V$239</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Sheet1!$N$240:$V$240</c:f>
              <c:numCache>
                <c:formatCode>General</c:formatCode>
                <c:ptCount val="9"/>
                <c:pt idx="0">
                  <c:v>118.94285714285715</c:v>
                </c:pt>
                <c:pt idx="1">
                  <c:v>136.54285714285717</c:v>
                </c:pt>
                <c:pt idx="2">
                  <c:v>137.2714285714286</c:v>
                </c:pt>
                <c:pt idx="3">
                  <c:v>157.60714285714283</c:v>
                </c:pt>
                <c:pt idx="4">
                  <c:v>179.81428571428572</c:v>
                </c:pt>
                <c:pt idx="5">
                  <c:v>194.19285714285715</c:v>
                </c:pt>
                <c:pt idx="6">
                  <c:v>221.3</c:v>
                </c:pt>
                <c:pt idx="7">
                  <c:v>261.8</c:v>
                </c:pt>
                <c:pt idx="8">
                  <c:v>320.77857142857141</c:v>
                </c:pt>
              </c:numCache>
            </c:numRef>
          </c:yVal>
          <c:smooth val="1"/>
          <c:extLst>
            <c:ext xmlns:c16="http://schemas.microsoft.com/office/drawing/2014/chart" uri="{C3380CC4-5D6E-409C-BE32-E72D297353CC}">
              <c16:uniqueId val="{00000000-A807-DC4B-A218-3EEECEF3D4FF}"/>
            </c:ext>
          </c:extLst>
        </c:ser>
        <c:ser>
          <c:idx val="1"/>
          <c:order val="1"/>
          <c:tx>
            <c:strRef>
              <c:f>Sheet1!$M$241</c:f>
              <c:strCache>
                <c:ptCount val="1"/>
                <c:pt idx="0">
                  <c:v>Non-Expansion</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Sheet1!$N$239:$V$239</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Sheet1!$N$241:$V$241</c:f>
              <c:numCache>
                <c:formatCode>General</c:formatCode>
                <c:ptCount val="9"/>
                <c:pt idx="0">
                  <c:v>87.375</c:v>
                </c:pt>
                <c:pt idx="1">
                  <c:v>101.70833333333331</c:v>
                </c:pt>
                <c:pt idx="2">
                  <c:v>111.64999999999999</c:v>
                </c:pt>
                <c:pt idx="3">
                  <c:v>117.39166666666667</c:v>
                </c:pt>
                <c:pt idx="4">
                  <c:v>124.11666666666667</c:v>
                </c:pt>
                <c:pt idx="5">
                  <c:v>129.60000000000002</c:v>
                </c:pt>
                <c:pt idx="6">
                  <c:v>142.71666666666664</c:v>
                </c:pt>
                <c:pt idx="7">
                  <c:v>174.45000000000002</c:v>
                </c:pt>
                <c:pt idx="8">
                  <c:v>227.89166666666665</c:v>
                </c:pt>
              </c:numCache>
            </c:numRef>
          </c:yVal>
          <c:smooth val="1"/>
          <c:extLst>
            <c:ext xmlns:c16="http://schemas.microsoft.com/office/drawing/2014/chart" uri="{C3380CC4-5D6E-409C-BE32-E72D297353CC}">
              <c16:uniqueId val="{00000001-A807-DC4B-A218-3EEECEF3D4FF}"/>
            </c:ext>
          </c:extLst>
        </c:ser>
        <c:dLbls>
          <c:showLegendKey val="0"/>
          <c:showVal val="0"/>
          <c:showCatName val="0"/>
          <c:showSerName val="0"/>
          <c:showPercent val="0"/>
          <c:showBubbleSize val="0"/>
        </c:dLbls>
        <c:axId val="1305346431"/>
        <c:axId val="1304727343"/>
      </c:scatterChart>
      <c:valAx>
        <c:axId val="1305346431"/>
        <c:scaling>
          <c:orientation val="minMax"/>
          <c:max val="2016"/>
          <c:min val="200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4727343"/>
        <c:crosses val="autoZero"/>
        <c:crossBetween val="midCat"/>
      </c:valAx>
      <c:valAx>
        <c:axId val="1304727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Opioid Related Emergency Department Visits per</a:t>
                </a:r>
                <a:r>
                  <a:rPr lang="en-US" baseline="0"/>
                  <a:t> 100,000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534643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9FE4-AE9C-6B44-8C9E-D345E62B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Ferrara</dc:creator>
  <cp:keywords/>
  <dc:description/>
  <cp:lastModifiedBy>Marcus Ferrara</cp:lastModifiedBy>
  <cp:revision>2</cp:revision>
  <dcterms:created xsi:type="dcterms:W3CDTF">2020-04-21T00:18:00Z</dcterms:created>
  <dcterms:modified xsi:type="dcterms:W3CDTF">2020-04-21T00:18:00Z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c7e1b3c0-61ae-3a7d-9be2-e152fd5fa434</vt:lpwstr>
  </property>
  <property fmtid="{D5CDD505-2E9C-101B-9397-08002B2CF9AE}" pid="4" name="Mendeley Citation Style_1">
    <vt:lpwstr>http://www.zotero.org/styles/modern-language-association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