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37" w14:textId="77777777" w:rsidR="0076668D" w:rsidRDefault="0076668D"/>
    <w:p w14:paraId="00000039" w14:textId="47B1C636" w:rsidR="0076668D" w:rsidRDefault="00950F3E">
      <w:r>
        <w:rPr>
          <w:b/>
        </w:rPr>
        <w:t>Topic:</w:t>
      </w:r>
      <w:r>
        <w:t xml:space="preserve"> </w:t>
      </w:r>
      <w:r w:rsidR="00341696">
        <w:t>Microstructure</w:t>
      </w:r>
    </w:p>
    <w:p w14:paraId="75D32592" w14:textId="77777777" w:rsidR="001D469B" w:rsidRDefault="001D469B"/>
    <w:p w14:paraId="0000003A" w14:textId="77777777" w:rsidR="0076668D" w:rsidRDefault="00950F3E">
      <w:pPr>
        <w:rPr>
          <w:b/>
        </w:rPr>
      </w:pPr>
      <w:r>
        <w:rPr>
          <w:b/>
        </w:rPr>
        <w:t>Data Sources and Publications:</w:t>
      </w:r>
    </w:p>
    <w:p w14:paraId="7E1B1107" w14:textId="77777777" w:rsidR="00341696" w:rsidRDefault="00341696" w:rsidP="00341696">
      <w:pPr>
        <w:rPr>
          <w:i/>
          <w:sz w:val="20"/>
          <w:szCs w:val="20"/>
        </w:rPr>
      </w:pPr>
      <w:r>
        <w:rPr>
          <w:i/>
          <w:color w:val="333333"/>
          <w:sz w:val="20"/>
          <w:szCs w:val="20"/>
        </w:rPr>
        <w:t>Ward, D., Mahan, K., and Schulte-</w:t>
      </w:r>
      <w:proofErr w:type="spellStart"/>
      <w:r>
        <w:rPr>
          <w:i/>
          <w:color w:val="333333"/>
          <w:sz w:val="20"/>
          <w:szCs w:val="20"/>
        </w:rPr>
        <w:t>Pelkum</w:t>
      </w:r>
      <w:proofErr w:type="spellEnd"/>
      <w:r>
        <w:rPr>
          <w:i/>
          <w:color w:val="333333"/>
          <w:sz w:val="20"/>
          <w:szCs w:val="20"/>
        </w:rPr>
        <w:t xml:space="preserve">, V., 2012, </w:t>
      </w:r>
      <w:r>
        <w:rPr>
          <w:i/>
          <w:sz w:val="20"/>
          <w:szCs w:val="20"/>
        </w:rPr>
        <w:t xml:space="preserve">Roles of quartz and mica in seismic anisotropy of </w:t>
      </w:r>
    </w:p>
    <w:p w14:paraId="348E127A" w14:textId="285E7CEA" w:rsidR="00341696" w:rsidRDefault="00341696" w:rsidP="00341696">
      <w:pPr>
        <w:ind w:firstLine="720"/>
        <w:rPr>
          <w:i/>
          <w:sz w:val="20"/>
          <w:szCs w:val="20"/>
        </w:rPr>
      </w:pPr>
      <w:proofErr w:type="spellStart"/>
      <w:r>
        <w:rPr>
          <w:i/>
          <w:sz w:val="20"/>
          <w:szCs w:val="20"/>
        </w:rPr>
        <w:t>mylonites</w:t>
      </w:r>
      <w:proofErr w:type="spellEnd"/>
      <w:r>
        <w:rPr>
          <w:i/>
          <w:sz w:val="20"/>
          <w:szCs w:val="20"/>
        </w:rPr>
        <w:t xml:space="preserve">, Geophysical Journal International, </w:t>
      </w:r>
      <w:proofErr w:type="spellStart"/>
      <w:r>
        <w:rPr>
          <w:i/>
          <w:sz w:val="20"/>
          <w:szCs w:val="20"/>
        </w:rPr>
        <w:t>doi</w:t>
      </w:r>
      <w:proofErr w:type="spellEnd"/>
      <w:r>
        <w:rPr>
          <w:i/>
          <w:sz w:val="20"/>
          <w:szCs w:val="20"/>
        </w:rPr>
        <w:t xml:space="preserve">: 10.1111/j.1365-246X.2012.05528.x. </w:t>
      </w:r>
    </w:p>
    <w:p w14:paraId="7BCEF386" w14:textId="77777777" w:rsidR="00341696" w:rsidRDefault="00341696" w:rsidP="00341696">
      <w:pPr>
        <w:rPr>
          <w:i/>
          <w:sz w:val="20"/>
          <w:szCs w:val="20"/>
        </w:rPr>
      </w:pPr>
      <w:r>
        <w:rPr>
          <w:i/>
          <w:sz w:val="20"/>
          <w:szCs w:val="20"/>
        </w:rPr>
        <w:t xml:space="preserve">Ward_etal2012_ISRq.ctf – A text file containing EBSD data from the Ward et al. (2012), for dynamically </w:t>
      </w:r>
    </w:p>
    <w:p w14:paraId="4BEAE6D0" w14:textId="0B73FD74" w:rsidR="00341696" w:rsidRDefault="00341696" w:rsidP="00341696">
      <w:pPr>
        <w:ind w:firstLine="720"/>
        <w:rPr>
          <w:i/>
          <w:sz w:val="20"/>
          <w:szCs w:val="20"/>
        </w:rPr>
      </w:pPr>
      <w:r>
        <w:rPr>
          <w:i/>
          <w:sz w:val="20"/>
          <w:szCs w:val="20"/>
        </w:rPr>
        <w:t>recrystallized Coal Creek quartzite mylonite sample from station location GG2.</w:t>
      </w:r>
    </w:p>
    <w:p w14:paraId="26A8275C" w14:textId="3CD89D04" w:rsidR="00A44FB4" w:rsidRDefault="00A44FB4" w:rsidP="00A44FB4">
      <w:pPr>
        <w:rPr>
          <w:iCs/>
          <w:sz w:val="20"/>
          <w:szCs w:val="20"/>
        </w:rPr>
      </w:pPr>
      <w:r>
        <w:rPr>
          <w:b/>
        </w:rPr>
        <w:t>Additional resources:</w:t>
      </w:r>
      <w:r>
        <w:rPr>
          <w:iCs/>
          <w:sz w:val="20"/>
          <w:szCs w:val="20"/>
        </w:rPr>
        <w:t xml:space="preserve"> </w:t>
      </w:r>
    </w:p>
    <w:p w14:paraId="07710CC0" w14:textId="77777777" w:rsidR="00CE2583" w:rsidRDefault="00CE2583" w:rsidP="00A44FB4">
      <w:pPr>
        <w:rPr>
          <w:i/>
          <w:sz w:val="20"/>
          <w:szCs w:val="20"/>
        </w:rPr>
      </w:pPr>
      <w:r w:rsidRPr="00CE2583">
        <w:rPr>
          <w:i/>
          <w:sz w:val="20"/>
          <w:szCs w:val="20"/>
        </w:rPr>
        <w:t>Fossen, H., 2016, Structural Geology, Cambridge University Press, Cambridge, England, 2</w:t>
      </w:r>
      <w:r w:rsidRPr="00CE2583">
        <w:rPr>
          <w:i/>
          <w:sz w:val="20"/>
          <w:szCs w:val="20"/>
          <w:vertAlign w:val="superscript"/>
        </w:rPr>
        <w:t>nd</w:t>
      </w:r>
      <w:r w:rsidRPr="00CE2583">
        <w:rPr>
          <w:i/>
          <w:sz w:val="20"/>
          <w:szCs w:val="20"/>
        </w:rPr>
        <w:t xml:space="preserve"> </w:t>
      </w:r>
      <w:proofErr w:type="spellStart"/>
      <w:r w:rsidRPr="00CE2583">
        <w:rPr>
          <w:i/>
          <w:sz w:val="20"/>
          <w:szCs w:val="20"/>
        </w:rPr>
        <w:t>edn</w:t>
      </w:r>
      <w:proofErr w:type="spellEnd"/>
      <w:r w:rsidRPr="00CE2583">
        <w:rPr>
          <w:i/>
          <w:sz w:val="20"/>
          <w:szCs w:val="20"/>
        </w:rPr>
        <w:t xml:space="preserve">., </w:t>
      </w:r>
    </w:p>
    <w:p w14:paraId="5D0C6703" w14:textId="5FEFA3F0" w:rsidR="00CE2583" w:rsidRPr="00CE2583" w:rsidRDefault="00CE2583" w:rsidP="00CE2583">
      <w:pPr>
        <w:ind w:firstLine="720"/>
        <w:rPr>
          <w:i/>
          <w:sz w:val="20"/>
          <w:szCs w:val="20"/>
        </w:rPr>
      </w:pPr>
      <w:r w:rsidRPr="00CE2583">
        <w:rPr>
          <w:i/>
          <w:sz w:val="20"/>
          <w:szCs w:val="20"/>
        </w:rPr>
        <w:t>Chapter 11: Deformation at the microscale, and Box 11.4 on the EBSD technique.</w:t>
      </w:r>
    </w:p>
    <w:p w14:paraId="13EE6EC3" w14:textId="68D94E8C" w:rsidR="00CE2583" w:rsidRDefault="00CE2583" w:rsidP="00A44FB4">
      <w:pPr>
        <w:rPr>
          <w:i/>
          <w:sz w:val="20"/>
          <w:szCs w:val="20"/>
        </w:rPr>
      </w:pPr>
      <w:proofErr w:type="spellStart"/>
      <w:r w:rsidRPr="00CE2583">
        <w:rPr>
          <w:i/>
          <w:sz w:val="20"/>
          <w:szCs w:val="20"/>
        </w:rPr>
        <w:t>Swapp</w:t>
      </w:r>
      <w:proofErr w:type="spellEnd"/>
      <w:r w:rsidRPr="00CE2583">
        <w:rPr>
          <w:i/>
          <w:sz w:val="20"/>
          <w:szCs w:val="20"/>
        </w:rPr>
        <w:t xml:space="preserve">, S.M., 2019, Electron backscatter diffraction (EBSD), </w:t>
      </w:r>
      <w:hyperlink r:id="rId5" w:history="1">
        <w:r w:rsidRPr="00667EF8">
          <w:rPr>
            <w:rStyle w:val="Hyperlink"/>
            <w:i/>
            <w:sz w:val="20"/>
            <w:szCs w:val="20"/>
          </w:rPr>
          <w:t>https://serc.carleton.edu/18413</w:t>
        </w:r>
      </w:hyperlink>
      <w:r w:rsidRPr="00CE2583">
        <w:rPr>
          <w:i/>
          <w:sz w:val="20"/>
          <w:szCs w:val="20"/>
        </w:rPr>
        <w:t>.</w:t>
      </w:r>
    </w:p>
    <w:p w14:paraId="509762E7" w14:textId="77777777" w:rsidR="00D55978" w:rsidRDefault="00CE2583" w:rsidP="00A44FB4">
      <w:pPr>
        <w:rPr>
          <w:i/>
          <w:sz w:val="20"/>
          <w:szCs w:val="20"/>
        </w:rPr>
      </w:pPr>
      <w:r>
        <w:rPr>
          <w:i/>
          <w:sz w:val="20"/>
          <w:szCs w:val="20"/>
        </w:rPr>
        <w:t xml:space="preserve">Bachmann, F., Hielscher, R., and </w:t>
      </w:r>
      <w:proofErr w:type="spellStart"/>
      <w:r>
        <w:rPr>
          <w:i/>
          <w:sz w:val="20"/>
          <w:szCs w:val="20"/>
        </w:rPr>
        <w:t>Schaeben</w:t>
      </w:r>
      <w:proofErr w:type="spellEnd"/>
      <w:r>
        <w:rPr>
          <w:i/>
          <w:sz w:val="20"/>
          <w:szCs w:val="20"/>
        </w:rPr>
        <w:t xml:space="preserve">, H., 2010, Texture analysis with MTEX -Free and Open </w:t>
      </w:r>
    </w:p>
    <w:p w14:paraId="027C9769" w14:textId="6FEAF7CE" w:rsidR="00CE2583" w:rsidRDefault="00CE2583" w:rsidP="00D55978">
      <w:pPr>
        <w:ind w:left="720"/>
        <w:rPr>
          <w:i/>
          <w:sz w:val="20"/>
          <w:szCs w:val="20"/>
        </w:rPr>
      </w:pPr>
      <w:r>
        <w:rPr>
          <w:i/>
          <w:sz w:val="20"/>
          <w:szCs w:val="20"/>
        </w:rPr>
        <w:t>Source Software Toolbox, Solid State Phenomena</w:t>
      </w:r>
      <w:r w:rsidR="00D55978">
        <w:rPr>
          <w:i/>
          <w:sz w:val="20"/>
          <w:szCs w:val="20"/>
        </w:rPr>
        <w:t xml:space="preserve">, v. 160, p.63-68, </w:t>
      </w:r>
      <w:hyperlink r:id="rId6" w:history="1">
        <w:r w:rsidR="0030351C" w:rsidRPr="00227302">
          <w:rPr>
            <w:rStyle w:val="Hyperlink"/>
            <w:i/>
            <w:sz w:val="20"/>
            <w:szCs w:val="20"/>
          </w:rPr>
          <w:t>https://doi.org/10.4028/www.scientific.net/SSP.160.63</w:t>
        </w:r>
      </w:hyperlink>
      <w:r w:rsidR="00D55978">
        <w:rPr>
          <w:i/>
          <w:sz w:val="20"/>
          <w:szCs w:val="20"/>
        </w:rPr>
        <w:t>.</w:t>
      </w:r>
    </w:p>
    <w:p w14:paraId="396ED23D" w14:textId="6B843CD5" w:rsidR="0030351C" w:rsidRDefault="0030351C" w:rsidP="0030351C">
      <w:pPr>
        <w:spacing w:line="240" w:lineRule="auto"/>
        <w:rPr>
          <w:rFonts w:eastAsia="Times New Roman"/>
          <w:i/>
          <w:iCs/>
          <w:sz w:val="20"/>
          <w:szCs w:val="20"/>
          <w:lang w:val="en-US"/>
        </w:rPr>
      </w:pPr>
      <w:proofErr w:type="spellStart"/>
      <w:r w:rsidRPr="0030351C">
        <w:rPr>
          <w:rFonts w:eastAsia="Times New Roman"/>
          <w:i/>
          <w:iCs/>
          <w:sz w:val="20"/>
          <w:szCs w:val="20"/>
          <w:lang w:val="en-US"/>
        </w:rPr>
        <w:t>Stipp</w:t>
      </w:r>
      <w:proofErr w:type="spellEnd"/>
      <w:r w:rsidRPr="0030351C">
        <w:rPr>
          <w:rFonts w:eastAsia="Times New Roman"/>
          <w:i/>
          <w:iCs/>
          <w:sz w:val="20"/>
          <w:szCs w:val="20"/>
          <w:lang w:val="en-US"/>
        </w:rPr>
        <w:t xml:space="preserve">, M., </w:t>
      </w:r>
      <w:proofErr w:type="spellStart"/>
      <w:r w:rsidRPr="0030351C">
        <w:rPr>
          <w:rFonts w:eastAsia="Times New Roman"/>
          <w:i/>
          <w:iCs/>
          <w:sz w:val="20"/>
          <w:szCs w:val="20"/>
          <w:lang w:val="en-US"/>
        </w:rPr>
        <w:t>Stünitz</w:t>
      </w:r>
      <w:proofErr w:type="spellEnd"/>
      <w:r w:rsidRPr="0030351C">
        <w:rPr>
          <w:rFonts w:eastAsia="Times New Roman"/>
          <w:i/>
          <w:iCs/>
          <w:sz w:val="20"/>
          <w:szCs w:val="20"/>
          <w:lang w:val="en-US"/>
        </w:rPr>
        <w:t xml:space="preserve">, H., </w:t>
      </w:r>
      <w:proofErr w:type="spellStart"/>
      <w:r w:rsidRPr="0030351C">
        <w:rPr>
          <w:rFonts w:eastAsia="Times New Roman"/>
          <w:i/>
          <w:iCs/>
          <w:sz w:val="20"/>
          <w:szCs w:val="20"/>
          <w:lang w:val="en-US"/>
        </w:rPr>
        <w:t>Heilbronner</w:t>
      </w:r>
      <w:proofErr w:type="spellEnd"/>
      <w:r w:rsidRPr="0030351C">
        <w:rPr>
          <w:rFonts w:eastAsia="Times New Roman"/>
          <w:i/>
          <w:iCs/>
          <w:sz w:val="20"/>
          <w:szCs w:val="20"/>
          <w:lang w:val="en-US"/>
        </w:rPr>
        <w:t>, R., and Schmid, S. M.</w:t>
      </w:r>
      <w:r>
        <w:rPr>
          <w:rFonts w:eastAsia="Times New Roman"/>
          <w:i/>
          <w:iCs/>
          <w:sz w:val="20"/>
          <w:szCs w:val="20"/>
          <w:lang w:val="en-US"/>
        </w:rPr>
        <w:t>, 2002,</w:t>
      </w:r>
      <w:r w:rsidRPr="0030351C">
        <w:rPr>
          <w:rFonts w:eastAsia="Times New Roman"/>
          <w:i/>
          <w:iCs/>
          <w:sz w:val="20"/>
          <w:szCs w:val="20"/>
          <w:lang w:val="en-US"/>
        </w:rPr>
        <w:t xml:space="preserve"> The eastern </w:t>
      </w:r>
      <w:proofErr w:type="spellStart"/>
      <w:r w:rsidRPr="0030351C">
        <w:rPr>
          <w:rFonts w:eastAsia="Times New Roman"/>
          <w:i/>
          <w:iCs/>
          <w:sz w:val="20"/>
          <w:szCs w:val="20"/>
          <w:lang w:val="en-US"/>
        </w:rPr>
        <w:t>Tonale</w:t>
      </w:r>
      <w:proofErr w:type="spellEnd"/>
      <w:r w:rsidRPr="0030351C">
        <w:rPr>
          <w:rFonts w:eastAsia="Times New Roman"/>
          <w:i/>
          <w:iCs/>
          <w:sz w:val="20"/>
          <w:szCs w:val="20"/>
          <w:lang w:val="en-US"/>
        </w:rPr>
        <w:t xml:space="preserve"> fault zone: A ’natural </w:t>
      </w:r>
    </w:p>
    <w:p w14:paraId="183AF7AD" w14:textId="35846F05" w:rsidR="0030351C" w:rsidRPr="0030351C" w:rsidRDefault="0030351C" w:rsidP="0030351C">
      <w:pPr>
        <w:spacing w:line="240" w:lineRule="auto"/>
        <w:ind w:left="720"/>
        <w:rPr>
          <w:rFonts w:ascii="Times New Roman" w:eastAsia="Times New Roman" w:hAnsi="Times New Roman" w:cs="Times New Roman"/>
          <w:i/>
          <w:iCs/>
          <w:sz w:val="20"/>
          <w:szCs w:val="20"/>
          <w:lang w:val="en-US"/>
        </w:rPr>
      </w:pPr>
      <w:r w:rsidRPr="0030351C">
        <w:rPr>
          <w:rFonts w:eastAsia="Times New Roman"/>
          <w:i/>
          <w:iCs/>
          <w:sz w:val="20"/>
          <w:szCs w:val="20"/>
          <w:lang w:val="en-US"/>
        </w:rPr>
        <w:t>laboratory’ for crystal plastic deformation</w:t>
      </w:r>
      <w:r>
        <w:rPr>
          <w:rFonts w:eastAsia="Times New Roman"/>
          <w:i/>
          <w:iCs/>
          <w:sz w:val="20"/>
          <w:szCs w:val="20"/>
          <w:lang w:val="en-US"/>
        </w:rPr>
        <w:t xml:space="preserve"> </w:t>
      </w:r>
      <w:r w:rsidRPr="0030351C">
        <w:rPr>
          <w:rFonts w:eastAsia="Times New Roman"/>
          <w:i/>
          <w:iCs/>
          <w:sz w:val="20"/>
          <w:szCs w:val="20"/>
          <w:lang w:val="en-US"/>
        </w:rPr>
        <w:t>of quartz over a temperature range from 250 to 700 °C, Journal of Structural Geology, 24, 1861–1884, https://doi.org/10.1016/S0191-8141(02)00035-4</w:t>
      </w:r>
      <w:r>
        <w:rPr>
          <w:rFonts w:eastAsia="Times New Roman"/>
          <w:i/>
          <w:iCs/>
          <w:sz w:val="20"/>
          <w:szCs w:val="20"/>
          <w:lang w:val="en-US"/>
        </w:rPr>
        <w:t>.</w:t>
      </w:r>
    </w:p>
    <w:p w14:paraId="00000040" w14:textId="43414C0F" w:rsidR="0076668D" w:rsidRDefault="0076668D"/>
    <w:p w14:paraId="5445066B" w14:textId="77777777" w:rsidR="00341696" w:rsidRDefault="00950F3E">
      <w:pPr>
        <w:rPr>
          <w:b/>
        </w:rPr>
      </w:pPr>
      <w:r>
        <w:rPr>
          <w:b/>
        </w:rPr>
        <w:t>Goal</w:t>
      </w:r>
      <w:r w:rsidR="00341696">
        <w:rPr>
          <w:b/>
        </w:rPr>
        <w:t>s</w:t>
      </w:r>
      <w:r>
        <w:rPr>
          <w:b/>
        </w:rPr>
        <w:t xml:space="preserve">: </w:t>
      </w:r>
      <w:r>
        <w:rPr>
          <w:b/>
        </w:rPr>
        <w:tab/>
      </w:r>
    </w:p>
    <w:p w14:paraId="00000042" w14:textId="4973E0ED" w:rsidR="0076668D" w:rsidRDefault="00950F3E" w:rsidP="00CE2583">
      <w:pPr>
        <w:ind w:left="720"/>
      </w:pPr>
      <w:r>
        <w:t xml:space="preserve">1) To reinforce your understanding of the </w:t>
      </w:r>
      <w:r w:rsidR="00CE2583">
        <w:t>links between microstructural and macrostructural analysis</w:t>
      </w:r>
      <w:r w:rsidR="00D55978">
        <w:t>.</w:t>
      </w:r>
    </w:p>
    <w:p w14:paraId="00000043" w14:textId="729E9981" w:rsidR="0076668D" w:rsidRDefault="00950F3E">
      <w:pPr>
        <w:ind w:left="720"/>
      </w:pPr>
      <w:r>
        <w:t xml:space="preserve">2) To </w:t>
      </w:r>
      <w:r w:rsidR="00D55978">
        <w:t xml:space="preserve">review deformation mechanisms and </w:t>
      </w:r>
      <w:r>
        <w:t xml:space="preserve">understand </w:t>
      </w:r>
      <w:r w:rsidR="00D55978">
        <w:t>the relationships between</w:t>
      </w:r>
      <w:r w:rsidR="00CE2583">
        <w:t xml:space="preserve"> </w:t>
      </w:r>
      <w:r w:rsidR="00D55978">
        <w:t xml:space="preserve">dislocation creep and </w:t>
      </w:r>
      <w:r w:rsidR="00CE2583">
        <w:t>crystallographic preferred orientation (CPO)</w:t>
      </w:r>
      <w:r w:rsidR="00D55978">
        <w:t xml:space="preserve"> in deforming minerals.</w:t>
      </w:r>
    </w:p>
    <w:p w14:paraId="00000044" w14:textId="14CFF2CB" w:rsidR="0076668D" w:rsidRDefault="00950F3E" w:rsidP="00387867">
      <w:pPr>
        <w:ind w:left="720"/>
      </w:pPr>
      <w:r>
        <w:t xml:space="preserve">3) To understand </w:t>
      </w:r>
      <w:r w:rsidR="00387867">
        <w:t xml:space="preserve">the range of slip systems that are known to be possible in quartz and </w:t>
      </w:r>
      <w:r>
        <w:t xml:space="preserve">how </w:t>
      </w:r>
      <w:r w:rsidR="00CE2583">
        <w:t>the</w:t>
      </w:r>
      <w:r w:rsidR="00387867">
        <w:t xml:space="preserve">y are thought to vary with deformation temperature </w:t>
      </w:r>
    </w:p>
    <w:p w14:paraId="00000045" w14:textId="3FE7FE6A" w:rsidR="0076668D" w:rsidRDefault="00950F3E">
      <w:pPr>
        <w:ind w:left="720"/>
      </w:pPr>
      <w:r>
        <w:t xml:space="preserve">4) To understand how </w:t>
      </w:r>
      <w:r w:rsidR="00CE2583">
        <w:t>quartz CPO patterns can vary between coaxial and non-coaxial deformation, and how they can be used to infer shear sense.</w:t>
      </w:r>
    </w:p>
    <w:p w14:paraId="00000046" w14:textId="77777777" w:rsidR="0076668D" w:rsidRDefault="0076668D"/>
    <w:p w14:paraId="00000047" w14:textId="77777777" w:rsidR="0076668D" w:rsidRDefault="00950F3E">
      <w:r>
        <w:rPr>
          <w:b/>
        </w:rPr>
        <w:t>Figures to create:</w:t>
      </w:r>
    </w:p>
    <w:p w14:paraId="00000048" w14:textId="5B1AC185" w:rsidR="0076668D" w:rsidRDefault="00CE2583">
      <w:pPr>
        <w:numPr>
          <w:ilvl w:val="0"/>
          <w:numId w:val="8"/>
        </w:numPr>
      </w:pPr>
      <w:r>
        <w:t>Quartz c-axis pole figure</w:t>
      </w:r>
      <w:r w:rsidR="00950F3E">
        <w:t xml:space="preserve">. </w:t>
      </w:r>
      <w:r>
        <w:t>Use a software program such as MTEX</w:t>
      </w:r>
      <w:r w:rsidR="00D55978">
        <w:t xml:space="preserve"> to generate a pole figure (spherical projection diagram) showing the orientations of quartz crystallographic c-axes in the sample collected from station GG 2 by Ward et al. (2012). You will be recreating the middle pole figure in the top row of Fig. 2B in the Ward paper. </w:t>
      </w:r>
    </w:p>
    <w:p w14:paraId="0000004A" w14:textId="77777777" w:rsidR="0076668D" w:rsidRDefault="0076668D"/>
    <w:p w14:paraId="0000004B" w14:textId="77777777" w:rsidR="0076668D" w:rsidRDefault="00950F3E">
      <w:pPr>
        <w:rPr>
          <w:b/>
        </w:rPr>
      </w:pPr>
      <w:r>
        <w:rPr>
          <w:b/>
        </w:rPr>
        <w:t>Questions to Answer:</w:t>
      </w:r>
    </w:p>
    <w:p w14:paraId="0000004C" w14:textId="58281098" w:rsidR="0076668D" w:rsidRDefault="00950F3E">
      <w:pPr>
        <w:numPr>
          <w:ilvl w:val="0"/>
          <w:numId w:val="2"/>
        </w:numPr>
      </w:pPr>
      <w:r>
        <w:t>Wh</w:t>
      </w:r>
      <w:r w:rsidR="00D55978">
        <w:t>y does dislocation creep cause a crystallographic preferred orientation (CPO) to develop during deformation? Conversely, why can the observation of a CPO be used to infer that dislocation creep was a dominant deformation mechanism</w:t>
      </w:r>
      <w:r w:rsidR="00180148">
        <w:t>?</w:t>
      </w:r>
    </w:p>
    <w:p w14:paraId="44E4932B" w14:textId="7D96E71D" w:rsidR="00387867" w:rsidRDefault="0068564E" w:rsidP="00387867">
      <w:pPr>
        <w:pStyle w:val="ListParagraph"/>
        <w:numPr>
          <w:ilvl w:val="0"/>
          <w:numId w:val="2"/>
        </w:numPr>
      </w:pPr>
      <w:r>
        <w:t>C</w:t>
      </w:r>
      <w:r w:rsidR="00387867">
        <w:t xml:space="preserve">an </w:t>
      </w:r>
      <w:r>
        <w:t xml:space="preserve">the </w:t>
      </w:r>
      <w:r w:rsidR="00387867">
        <w:t xml:space="preserve">dynamically recrystallized quartz CPO </w:t>
      </w:r>
      <w:r>
        <w:t xml:space="preserve">in the Coal Creek </w:t>
      </w:r>
      <w:proofErr w:type="spellStart"/>
      <w:r>
        <w:t>quarzite</w:t>
      </w:r>
      <w:proofErr w:type="spellEnd"/>
      <w:r>
        <w:t xml:space="preserve"> mylonite </w:t>
      </w:r>
      <w:r w:rsidR="00387867">
        <w:t>be used to infer approximate temperatures of deformation, and are the results consistent with those inferred from metamorphic petrology? Talk with the metamorphic petrology group to exchange notes.</w:t>
      </w:r>
    </w:p>
    <w:p w14:paraId="47497546" w14:textId="52933F38" w:rsidR="0068564E" w:rsidRDefault="0068564E" w:rsidP="0068564E">
      <w:pPr>
        <w:pStyle w:val="ListParagraph"/>
        <w:numPr>
          <w:ilvl w:val="0"/>
          <w:numId w:val="2"/>
        </w:numPr>
      </w:pPr>
      <w:r>
        <w:t>Can the quartz CPO pattern be used to infer shear sense during mylonite deformation, and are the results consistent with those observed in your field mapping? Talk with the advanced structural analysis group to exchange notes.</w:t>
      </w:r>
    </w:p>
    <w:p w14:paraId="00000052" w14:textId="77777777" w:rsidR="0076668D" w:rsidRDefault="00950F3E">
      <w:pPr>
        <w:numPr>
          <w:ilvl w:val="0"/>
          <w:numId w:val="2"/>
        </w:numPr>
      </w:pPr>
      <w:r>
        <w:lastRenderedPageBreak/>
        <w:t xml:space="preserve">How do these data and interpretations relate to other field and analytical datasets that other students groups are working with? </w:t>
      </w:r>
    </w:p>
    <w:p w14:paraId="00000053" w14:textId="77777777" w:rsidR="0076668D" w:rsidRDefault="00950F3E">
      <w:pPr>
        <w:numPr>
          <w:ilvl w:val="0"/>
          <w:numId w:val="2"/>
        </w:numPr>
      </w:pPr>
      <w:r>
        <w:t>How would this additional data and your interpretations of them affect your original map and cross-section interpretation?</w:t>
      </w:r>
    </w:p>
    <w:p w14:paraId="00000054" w14:textId="77777777" w:rsidR="0076668D" w:rsidRDefault="00950F3E">
      <w:pPr>
        <w:numPr>
          <w:ilvl w:val="0"/>
          <w:numId w:val="2"/>
        </w:numPr>
      </w:pPr>
      <w:r>
        <w:t>Identify some of the main sources of uncertainty in these data and interpretations and discuss some ways that they are addressed.</w:t>
      </w:r>
    </w:p>
    <w:p w14:paraId="000000BC" w14:textId="77777777" w:rsidR="0076668D" w:rsidRDefault="0076668D"/>
    <w:sectPr w:rsidR="007666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4AE6"/>
    <w:multiLevelType w:val="multilevel"/>
    <w:tmpl w:val="29C24E8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6E2864"/>
    <w:multiLevelType w:val="multilevel"/>
    <w:tmpl w:val="A15E24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0BF70E7"/>
    <w:multiLevelType w:val="multilevel"/>
    <w:tmpl w:val="5D3076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0711A9"/>
    <w:multiLevelType w:val="multilevel"/>
    <w:tmpl w:val="81647C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A785AC1"/>
    <w:multiLevelType w:val="multilevel"/>
    <w:tmpl w:val="E91A29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50500C6"/>
    <w:multiLevelType w:val="multilevel"/>
    <w:tmpl w:val="B27AA6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638675A"/>
    <w:multiLevelType w:val="multilevel"/>
    <w:tmpl w:val="7F58D2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721E329A"/>
    <w:multiLevelType w:val="multilevel"/>
    <w:tmpl w:val="F6E65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B5420AF"/>
    <w:multiLevelType w:val="multilevel"/>
    <w:tmpl w:val="386ACE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EF544A3"/>
    <w:multiLevelType w:val="multilevel"/>
    <w:tmpl w:val="A52ACE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7"/>
  </w:num>
  <w:num w:numId="3">
    <w:abstractNumId w:val="3"/>
  </w:num>
  <w:num w:numId="4">
    <w:abstractNumId w:val="2"/>
  </w:num>
  <w:num w:numId="5">
    <w:abstractNumId w:val="6"/>
  </w:num>
  <w:num w:numId="6">
    <w:abstractNumId w:val="4"/>
  </w:num>
  <w:num w:numId="7">
    <w:abstractNumId w:val="9"/>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68D"/>
    <w:rsid w:val="000E7D1F"/>
    <w:rsid w:val="00180148"/>
    <w:rsid w:val="00182914"/>
    <w:rsid w:val="001D469B"/>
    <w:rsid w:val="002C388A"/>
    <w:rsid w:val="0030351C"/>
    <w:rsid w:val="00341696"/>
    <w:rsid w:val="00387867"/>
    <w:rsid w:val="00422B3A"/>
    <w:rsid w:val="005412DA"/>
    <w:rsid w:val="005C677D"/>
    <w:rsid w:val="0068564E"/>
    <w:rsid w:val="0076668D"/>
    <w:rsid w:val="00893FFE"/>
    <w:rsid w:val="00950F3E"/>
    <w:rsid w:val="00A27660"/>
    <w:rsid w:val="00A44FB4"/>
    <w:rsid w:val="00A93564"/>
    <w:rsid w:val="00AF213E"/>
    <w:rsid w:val="00B86FC9"/>
    <w:rsid w:val="00CA0B4E"/>
    <w:rsid w:val="00CE2583"/>
    <w:rsid w:val="00D5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5D33AD"/>
  <w15:docId w15:val="{F2C90D67-89D7-3C41-B16D-042A9F6F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93FFE"/>
    <w:rPr>
      <w:color w:val="0000FF" w:themeColor="hyperlink"/>
      <w:u w:val="single"/>
    </w:rPr>
  </w:style>
  <w:style w:type="character" w:styleId="UnresolvedMention">
    <w:name w:val="Unresolved Mention"/>
    <w:basedOn w:val="DefaultParagraphFont"/>
    <w:uiPriority w:val="99"/>
    <w:semiHidden/>
    <w:unhideWhenUsed/>
    <w:rsid w:val="00893FFE"/>
    <w:rPr>
      <w:color w:val="605E5C"/>
      <w:shd w:val="clear" w:color="auto" w:fill="E1DFDD"/>
    </w:rPr>
  </w:style>
  <w:style w:type="character" w:styleId="FollowedHyperlink">
    <w:name w:val="FollowedHyperlink"/>
    <w:basedOn w:val="DefaultParagraphFont"/>
    <w:uiPriority w:val="99"/>
    <w:semiHidden/>
    <w:unhideWhenUsed/>
    <w:rsid w:val="00182914"/>
    <w:rPr>
      <w:color w:val="800080" w:themeColor="followedHyperlink"/>
      <w:u w:val="single"/>
    </w:rPr>
  </w:style>
  <w:style w:type="paragraph" w:styleId="ListParagraph">
    <w:name w:val="List Paragraph"/>
    <w:basedOn w:val="Normal"/>
    <w:uiPriority w:val="34"/>
    <w:qFormat/>
    <w:rsid w:val="00387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794056">
      <w:bodyDiv w:val="1"/>
      <w:marLeft w:val="0"/>
      <w:marRight w:val="0"/>
      <w:marTop w:val="0"/>
      <w:marBottom w:val="0"/>
      <w:divBdr>
        <w:top w:val="none" w:sz="0" w:space="0" w:color="auto"/>
        <w:left w:val="none" w:sz="0" w:space="0" w:color="auto"/>
        <w:bottom w:val="none" w:sz="0" w:space="0" w:color="auto"/>
        <w:right w:val="none" w:sz="0" w:space="0" w:color="auto"/>
      </w:divBdr>
    </w:div>
    <w:div w:id="1192453853">
      <w:bodyDiv w:val="1"/>
      <w:marLeft w:val="0"/>
      <w:marRight w:val="0"/>
      <w:marTop w:val="0"/>
      <w:marBottom w:val="0"/>
      <w:divBdr>
        <w:top w:val="none" w:sz="0" w:space="0" w:color="auto"/>
        <w:left w:val="none" w:sz="0" w:space="0" w:color="auto"/>
        <w:bottom w:val="none" w:sz="0" w:space="0" w:color="auto"/>
        <w:right w:val="none" w:sz="0" w:space="0" w:color="auto"/>
      </w:divBdr>
    </w:div>
    <w:div w:id="1303922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028/www.scientific.net/SSP.160.63" TargetMode="External"/><Relationship Id="rId5" Type="http://schemas.openxmlformats.org/officeDocument/2006/relationships/hyperlink" Target="https://serc.carleton.edu/184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Mahan</cp:lastModifiedBy>
  <cp:revision>3</cp:revision>
  <dcterms:created xsi:type="dcterms:W3CDTF">2021-04-06T14:45:00Z</dcterms:created>
  <dcterms:modified xsi:type="dcterms:W3CDTF">2021-04-16T17:34:00Z</dcterms:modified>
</cp:coreProperties>
</file>